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48F" w:rsidRDefault="00000000">
      <w:pPr>
        <w:pStyle w:val="Titre1"/>
      </w:pPr>
      <w:bookmarkStart w:id="0" w:name="fiche-catalogue-2026"/>
      <w:r>
        <w:t>Fiche catalogue 2026</w:t>
      </w:r>
    </w:p>
    <w:p w:rsidR="00B5748F" w:rsidRDefault="00000000">
      <w:pPr>
        <w:pStyle w:val="Compact"/>
        <w:numPr>
          <w:ilvl w:val="0"/>
          <w:numId w:val="2"/>
        </w:numPr>
      </w:pPr>
      <w:r>
        <w:rPr>
          <w:b/>
          <w:color w:val="000091"/>
        </w:rPr>
        <w:t>Libellé</w:t>
      </w:r>
      <w:r>
        <w:t xml:space="preserve"> : L'accessibilité numérique pour la bureautique et le web</w:t>
      </w:r>
    </w:p>
    <w:p w:rsidR="00B5748F" w:rsidRDefault="00000000">
      <w:pPr>
        <w:pStyle w:val="Compact"/>
        <w:numPr>
          <w:ilvl w:val="0"/>
          <w:numId w:val="2"/>
        </w:numPr>
      </w:pPr>
      <w:r>
        <w:rPr>
          <w:b/>
          <w:bCs/>
          <w:color w:val="000091"/>
        </w:rPr>
        <w:t>Code</w:t>
      </w:r>
      <w:r>
        <w:t xml:space="preserve"> : 102846</w:t>
      </w:r>
    </w:p>
    <w:p w:rsidR="00B5748F" w:rsidRDefault="00000000">
      <w:pPr>
        <w:pStyle w:val="Compact"/>
        <w:numPr>
          <w:ilvl w:val="0"/>
          <w:numId w:val="2"/>
        </w:numPr>
      </w:pPr>
      <w:r>
        <w:rPr>
          <w:b/>
          <w:bCs/>
          <w:color w:val="000091"/>
        </w:rPr>
        <w:t>Durée</w:t>
      </w:r>
      <w:r>
        <w:t xml:space="preserve"> : 1 jour</w:t>
      </w:r>
    </w:p>
    <w:p w:rsidR="00B5748F" w:rsidRDefault="00000000">
      <w:pPr>
        <w:pStyle w:val="Compact"/>
        <w:numPr>
          <w:ilvl w:val="0"/>
          <w:numId w:val="2"/>
        </w:numPr>
      </w:pPr>
      <w:r>
        <w:rPr>
          <w:b/>
          <w:bCs/>
          <w:color w:val="000091"/>
        </w:rPr>
        <w:t>Niveau</w:t>
      </w:r>
      <w:r>
        <w:t xml:space="preserve"> : Initiation</w:t>
      </w:r>
    </w:p>
    <w:p w:rsidR="00B5748F" w:rsidRDefault="00000000">
      <w:pPr>
        <w:pStyle w:val="Compact"/>
        <w:numPr>
          <w:ilvl w:val="0"/>
          <w:numId w:val="2"/>
        </w:numPr>
      </w:pPr>
      <w:r>
        <w:rPr>
          <w:b/>
          <w:bCs/>
          <w:color w:val="000091"/>
        </w:rPr>
        <w:t>Salle de cours</w:t>
      </w:r>
      <w:r>
        <w:t xml:space="preserve"> : Salle équipée d’ordinateurs</w:t>
      </w:r>
    </w:p>
    <w:p w:rsidR="00B5748F" w:rsidRDefault="00000000">
      <w:pPr>
        <w:pStyle w:val="Titre2"/>
      </w:pPr>
      <w:bookmarkStart w:id="1" w:name="publics"/>
      <w:r>
        <w:t>Public(s)</w:t>
      </w:r>
    </w:p>
    <w:p w:rsidR="00B5748F" w:rsidRDefault="00000000">
      <w:pPr>
        <w:pStyle w:val="FirstParagraph"/>
      </w:pPr>
      <w:r>
        <w:t>Communicants de toutes les directions des ministères et producteurs de contenu numérique.</w:t>
      </w:r>
    </w:p>
    <w:p w:rsidR="00B5748F" w:rsidRDefault="00000000">
      <w:pPr>
        <w:pStyle w:val="Titre2"/>
      </w:pPr>
      <w:bookmarkStart w:id="2" w:name="prérequis"/>
      <w:bookmarkEnd w:id="1"/>
      <w:r>
        <w:t>Prérequis</w:t>
      </w:r>
    </w:p>
    <w:p w:rsidR="00B5748F" w:rsidRDefault="00000000">
      <w:pPr>
        <w:pStyle w:val="FirstParagraph"/>
      </w:pPr>
      <w:r>
        <w:t>Aucun prérequis obligatoire.</w:t>
      </w:r>
    </w:p>
    <w:p w:rsidR="00B5748F" w:rsidRDefault="00000000">
      <w:pPr>
        <w:pStyle w:val="Corpsdetexte"/>
      </w:pPr>
      <w:r w:rsidRPr="00E20F4A">
        <w:rPr>
          <w:b/>
          <w:bCs/>
        </w:rPr>
        <w:t>Conseil</w:t>
      </w:r>
      <w:r>
        <w:t xml:space="preserve"> : en complément de cette formation, il est recommandé de suivre sur Mentor le parcours « L’essentiel de l’accessibilité de la communication de l’État ».</w:t>
      </w:r>
    </w:p>
    <w:p w:rsidR="00B5748F" w:rsidRDefault="00000000">
      <w:pPr>
        <w:pStyle w:val="Corpsdetexte"/>
      </w:pPr>
      <w:r w:rsidRPr="00E20F4A">
        <w:rPr>
          <w:b/>
          <w:bCs/>
        </w:rPr>
        <w:t>Module 1</w:t>
      </w:r>
      <w:r>
        <w:t xml:space="preserve"> : Les bases de l’accessibilité (1 h).</w:t>
      </w:r>
    </w:p>
    <w:p w:rsidR="00B5748F" w:rsidRDefault="00B5748F">
      <w:pPr>
        <w:pStyle w:val="Corpsdetexte"/>
      </w:pPr>
      <w:hyperlink r:id="rId7">
        <w:r>
          <w:rPr>
            <w:rStyle w:val="Lienhypertexte"/>
          </w:rPr>
          <w:t>Accéder au parcours Mentor « L’essentiel de l’accessibilité de la communication de l’État »</w:t>
        </w:r>
      </w:hyperlink>
    </w:p>
    <w:p w:rsidR="00B5748F" w:rsidRDefault="00000000">
      <w:pPr>
        <w:pStyle w:val="Corpsdetexte"/>
      </w:pPr>
      <w:r>
        <w:t>Apporter un casque audio avec prise jack pour tester avec lecteur d’écran.</w:t>
      </w:r>
    </w:p>
    <w:p w:rsidR="00B5748F" w:rsidRDefault="00000000">
      <w:pPr>
        <w:pStyle w:val="Titre2"/>
      </w:pPr>
      <w:bookmarkStart w:id="3" w:name="objectifs-de-la-formation"/>
      <w:bookmarkEnd w:id="2"/>
      <w:r>
        <w:t>Objectifs de la formation</w:t>
      </w:r>
    </w:p>
    <w:p w:rsidR="00B5748F" w:rsidRDefault="00000000">
      <w:pPr>
        <w:pStyle w:val="FirstParagraph"/>
      </w:pPr>
      <w:r>
        <w:t>Cette formation vous permettra d’expliquer les enjeux de l’accessibilité numérique et son cadre légal dans le contexte de la communication, d’identifier et évaluer les principales erreurs d’accessibilité et de rendre des contenus numériques accessibles.</w:t>
      </w:r>
    </w:p>
    <w:p w:rsidR="00B5748F" w:rsidRDefault="00000000">
      <w:pPr>
        <w:pStyle w:val="Titre2"/>
      </w:pPr>
      <w:bookmarkStart w:id="4" w:name="compétences-ciblées"/>
      <w:bookmarkEnd w:id="3"/>
      <w:r>
        <w:t>Compétences ciblées</w:t>
      </w:r>
    </w:p>
    <w:p w:rsidR="00B5748F" w:rsidRDefault="00000000">
      <w:pPr>
        <w:pStyle w:val="Compact"/>
        <w:numPr>
          <w:ilvl w:val="0"/>
          <w:numId w:val="3"/>
        </w:numPr>
      </w:pPr>
      <w:r>
        <w:t>Évaluer la conformité d’un contenu numérique aux exigences légales d’accessibilité.</w:t>
      </w:r>
    </w:p>
    <w:p w:rsidR="00B5748F" w:rsidRDefault="00000000">
      <w:pPr>
        <w:pStyle w:val="Compact"/>
        <w:numPr>
          <w:ilvl w:val="0"/>
          <w:numId w:val="3"/>
        </w:numPr>
      </w:pPr>
      <w:r>
        <w:lastRenderedPageBreak/>
        <w:t>Utiliser efficacement les outils d’évaluation de l’accessibilité numérique.</w:t>
      </w:r>
    </w:p>
    <w:p w:rsidR="00B5748F" w:rsidRDefault="00000000">
      <w:pPr>
        <w:pStyle w:val="Compact"/>
        <w:numPr>
          <w:ilvl w:val="0"/>
          <w:numId w:val="3"/>
        </w:numPr>
      </w:pPr>
      <w:r>
        <w:t>Créer et adapter des contenus numériques pour garantir leur accessibilité pour divers supports.</w:t>
      </w:r>
    </w:p>
    <w:p w:rsidR="00B5748F" w:rsidRDefault="00000000">
      <w:pPr>
        <w:pStyle w:val="Titre2"/>
      </w:pPr>
      <w:bookmarkStart w:id="5" w:name="profil-des-intervenant.e.s"/>
      <w:bookmarkEnd w:id="4"/>
      <w:r>
        <w:t>Profil des intervenant.e.s</w:t>
      </w:r>
    </w:p>
    <w:p w:rsidR="00B5748F" w:rsidRDefault="00000000">
      <w:pPr>
        <w:pStyle w:val="FirstParagraph"/>
      </w:pPr>
      <w:r>
        <w:t>Formateurs Opquast certifiés et référents en Assurance Qualité Web et en accessibilité numérique (RGAA/WCAG).</w:t>
      </w:r>
    </w:p>
    <w:p w:rsidR="00B5748F" w:rsidRDefault="00000000">
      <w:pPr>
        <w:pStyle w:val="Titre2"/>
      </w:pPr>
      <w:bookmarkStart w:id="6" w:name="programme-de-formation"/>
      <w:bookmarkEnd w:id="5"/>
      <w:r>
        <w:t>Programme de formation</w:t>
      </w:r>
    </w:p>
    <w:p w:rsidR="00B5748F" w:rsidRDefault="00000000">
      <w:pPr>
        <w:pStyle w:val="Compact"/>
        <w:numPr>
          <w:ilvl w:val="0"/>
          <w:numId w:val="4"/>
        </w:numPr>
      </w:pPr>
      <w:r>
        <w:t>Comprendre l’accessibilité numérique et son cadre légal</w:t>
      </w:r>
    </w:p>
    <w:p w:rsidR="00B5748F" w:rsidRDefault="00000000">
      <w:pPr>
        <w:pStyle w:val="Compact"/>
        <w:numPr>
          <w:ilvl w:val="0"/>
          <w:numId w:val="4"/>
        </w:numPr>
      </w:pPr>
      <w:r>
        <w:t>Créer des documents bureautiques accessibles</w:t>
      </w:r>
    </w:p>
    <w:p w:rsidR="00B5748F" w:rsidRDefault="00000000">
      <w:pPr>
        <w:pStyle w:val="Compact"/>
        <w:numPr>
          <w:ilvl w:val="0"/>
          <w:numId w:val="4"/>
        </w:numPr>
      </w:pPr>
      <w:r>
        <w:t>Appliquer les évaluations rapides d’accessibilité web (Easy Checks)</w:t>
      </w:r>
    </w:p>
    <w:p w:rsidR="00B5748F" w:rsidRDefault="00000000">
      <w:pPr>
        <w:pStyle w:val="Compact"/>
        <w:numPr>
          <w:ilvl w:val="0"/>
          <w:numId w:val="4"/>
        </w:numPr>
      </w:pPr>
      <w:r>
        <w:t>Améliorer l’accessibilité numérique des publications sur les réseaux sociaux</w:t>
      </w:r>
    </w:p>
    <w:p w:rsidR="00B5748F" w:rsidRDefault="00000000">
      <w:pPr>
        <w:pStyle w:val="Titre2"/>
      </w:pPr>
      <w:bookmarkStart w:id="7" w:name="méthodes-pédagogiques-et-dévaluation"/>
      <w:bookmarkEnd w:id="6"/>
      <w:r>
        <w:t>Méthodes pédagogiques et d’évaluation</w:t>
      </w:r>
    </w:p>
    <w:p w:rsidR="00B5748F" w:rsidRDefault="00000000">
      <w:pPr>
        <w:pStyle w:val="FirstParagraph"/>
      </w:pPr>
      <w:r>
        <w:t>Cette formation allie apports théoriques et exercices pratiques avec création de documents, correction d’erreurs et tests avec lecteur d’écran pour une montée en compétences progressive. Auto-évaluation du niveau des compétences en début et fin de formation permettant de mesurer la progression. Tour de table et questionnaire individuel de satisfaction. L’attestation de présence sera envoyée aux stagiaires sur demande auprès de votre chargé(e) de formation.</w:t>
      </w:r>
      <w:bookmarkEnd w:id="0"/>
      <w:bookmarkEnd w:id="7"/>
    </w:p>
    <w:sectPr w:rsidR="00B5748F">
      <w:headerReference w:type="default" r:id="rId8"/>
      <w:footerReference w:type="default" r:id="rId9"/>
      <w:footnotePr>
        <w:numRestart w:val="eachSect"/>
      </w:footnotePr>
      <w:pgSz w:w="11906" w:h="16838"/>
      <w:pgMar w:top="1600" w:right="1417" w:bottom="1417" w:left="1417"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8F4" w:rsidRDefault="00DF78F4">
      <w:pPr>
        <w:spacing w:after="0" w:line="240" w:lineRule="auto"/>
      </w:pPr>
      <w:r>
        <w:separator/>
      </w:r>
    </w:p>
  </w:endnote>
  <w:endnote w:type="continuationSeparator" w:id="0">
    <w:p w:rsidR="00DF78F4" w:rsidRDefault="00DF7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rianne">
    <w:panose1 w:val="02000000000000000000"/>
    <w:charset w:val="00"/>
    <w:family w:val="auto"/>
    <w:pitch w:val="variable"/>
    <w:sig w:usb0="0000000F" w:usb1="00000000" w:usb2="00000000" w:usb3="00000000" w:csb0="00000003"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748F" w:rsidRDefault="00000000">
    <w:pPr>
      <w:jc w:val="center"/>
    </w:pPr>
    <w:r>
      <w:rPr>
        <w:color w:val="666666"/>
        <w:sz w:val="18"/>
      </w:rPr>
      <w:t>Fiche catalogue IGPDE 102846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8F4" w:rsidRDefault="00DF78F4">
      <w:pPr>
        <w:spacing w:after="0" w:line="240" w:lineRule="auto"/>
      </w:pPr>
      <w:r>
        <w:separator/>
      </w:r>
    </w:p>
  </w:footnote>
  <w:footnote w:type="continuationSeparator" w:id="0">
    <w:p w:rsidR="00DF78F4" w:rsidRDefault="00DF7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5F" w:rsidRDefault="00000000">
    <w:pPr>
      <w:ind w:hanging="1276"/>
      <w:jc w:val="both"/>
    </w:pPr>
    <w:r>
      <w:rPr>
        <w:noProof/>
      </w:rPr>
      <w:drawing>
        <wp:inline distT="0" distB="0" distL="0" distR="0">
          <wp:extent cx="7518318" cy="1979930"/>
          <wp:effectExtent l="0" t="0" r="6985" b="1270"/>
          <wp:docPr id="4" name="Image 4"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ogo &quot;République Française&quot; et &quot;IGPDE&quot;, Offre de formation de l'Institut de la gestion publique et du développement économique."/>
                  <pic:cNvPicPr/>
                </pic:nvPicPr>
                <pic:blipFill>
                  <a:blip r:embed="rId1">
                    <a:extLst>
                      <a:ext uri="{28A0092B-C50C-407E-A947-70E740481C1C}">
                        <a14:useLocalDpi xmlns:a14="http://schemas.microsoft.com/office/drawing/2010/main" val="0"/>
                      </a:ext>
                    </a:extLst>
                  </a:blip>
                  <a:stretch>
                    <a:fillRect/>
                  </a:stretch>
                </pic:blipFill>
                <pic:spPr>
                  <a:xfrm>
                    <a:off x="0" y="0"/>
                    <a:ext cx="7547220" cy="1987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4B8F0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54EA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0343957">
    <w:abstractNumId w:val="0"/>
  </w:num>
  <w:num w:numId="2" w16cid:durableId="364521228">
    <w:abstractNumId w:val="1"/>
  </w:num>
  <w:num w:numId="3" w16cid:durableId="1198662685">
    <w:abstractNumId w:val="1"/>
  </w:num>
  <w:num w:numId="4" w16cid:durableId="137615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8F"/>
    <w:rsid w:val="0008165F"/>
    <w:rsid w:val="00294C77"/>
    <w:rsid w:val="00693416"/>
    <w:rsid w:val="00976154"/>
    <w:rsid w:val="009A0C93"/>
    <w:rsid w:val="00B5748F"/>
    <w:rsid w:val="00DE2354"/>
    <w:rsid w:val="00DF78F4"/>
    <w:rsid w:val="00E20F4A"/>
    <w:rsid w:val="00FD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05DA9B2-3DC1-564F-ABFF-13B213A1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Marianne" w:hAnsi="Marianne"/>
      <w:color w:val="1A1A1A"/>
      <w:sz w:val="22"/>
    </w:rPr>
  </w:style>
  <w:style w:type="paragraph" w:styleId="Titre1">
    <w:name w:val="heading 1"/>
    <w:basedOn w:val="Normal"/>
    <w:next w:val="Corpsdetexte"/>
    <w:link w:val="Titre1Car"/>
    <w:uiPriority w:val="9"/>
    <w:qFormat/>
    <w:rsid w:val="00A10FD9"/>
    <w:pPr>
      <w:keepNext/>
      <w:keepLines/>
      <w:pBdr>
        <w:bottom w:val="single" w:sz="12" w:space="4" w:color="000091"/>
      </w:pBdr>
      <w:spacing w:before="360" w:after="80"/>
      <w:outlineLvl w:val="0"/>
    </w:pPr>
    <w:rPr>
      <w:rFonts w:asciiTheme="majorHAnsi" w:eastAsiaTheme="majorEastAsia" w:hAnsiTheme="majorHAnsi" w:cstheme="majorBidi"/>
      <w:b/>
      <w:color w:val="000091"/>
      <w:sz w:val="36"/>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b/>
      <w:color w:val="000091"/>
      <w:sz w:val="28"/>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b/>
      <w:color w:val="000091"/>
      <w:sz w:val="24"/>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b/>
      <w:i/>
      <w:iCs/>
      <w:color w:val="000091"/>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b/>
      <w:color w:val="000091"/>
      <w:sz w:val="20"/>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000091"/>
      <w:sz w:val="20"/>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pPr>
  </w:style>
  <w:style w:type="paragraph" w:styleId="Titre">
    <w:name w:val="Title"/>
    <w:basedOn w:val="Normal"/>
    <w:next w:val="Corpsdetexte"/>
    <w:link w:val="TitreCar"/>
    <w:uiPriority w:val="10"/>
    <w:qFormat/>
    <w:rsid w:val="00A10FD9"/>
    <w:pPr>
      <w:spacing w:after="80" w:line="240" w:lineRule="auto"/>
      <w:contextualSpacing/>
      <w:jc w:val="center"/>
    </w:pPr>
    <w:rPr>
      <w:rFonts w:asciiTheme="majorHAnsi" w:eastAsiaTheme="majorEastAsia" w:hAnsiTheme="majorHAnsi" w:cstheme="majorBidi"/>
      <w:b/>
      <w:color w:val="000091"/>
      <w:sz w:val="48"/>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ntor.gouv.fr/course/view.php?id=867&amp;sect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343</Words>
  <Characters>1887</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catalogue 2026 - L'accessibilité numérique pour la bureautique et le web</dc:title>
  <dc:subject>Formation IGPDE 102846</dc:subject>
  <dc:creator>IGPDE</dc:creator>
  <cp:keywords>IGPDE, 102846, fiche catalogue, accessibilité numérique, bureautique, web, réseaux sociaux</cp:keywords>
  <cp:lastModifiedBy>alex</cp:lastModifiedBy>
  <cp:revision>5</cp:revision>
  <dcterms:created xsi:type="dcterms:W3CDTF">2026-05-15T21:04:00Z</dcterms:created>
  <dcterms:modified xsi:type="dcterms:W3CDTF">2026-05-15T21:14:00Z</dcterms:modified>
  <dc:language>fr-FR</dc:language>
</cp:coreProperties>
</file>