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accessibilité des documents bureautiques</w:t>
      </w:r>
    </w:p>
    <w:p>
      <w:r>
        <w:t>Utilisez cette même checklist dès le début du TP, puis complétez-la après chaque station.</w:t>
      </w:r>
    </w:p>
    <w:p>
      <w:pPr>
        <w:pStyle w:val="ListBullet"/>
      </w:pPr>
      <w:r>
        <w:t>P - pratiqué : une action est réalisée et sa preuve est conservée.</w:t>
      </w:r>
    </w:p>
    <w:p>
      <w:pPr>
        <w:pStyle w:val="ListBullet"/>
      </w:pPr>
      <w:r>
        <w:t>C - contrôlé : un outil ou une vérification humaine est exécuté et son résultat est noté.</w:t>
      </w:r>
    </w:p>
    <w:p>
      <w:pPr>
        <w:pStyle w:val="ListBullet"/>
      </w:pPr>
      <w:r>
        <w:t>S - signalé : le point est vérifié sans manipulation obligatoire pendant le TP.</w:t>
      </w:r>
    </w:p>
    <w:p>
      <w:pPr>
        <w:pStyle w:val="Heading1"/>
      </w:pPr>
      <w:r>
        <w:t>Structurer et naviguer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 w:val="true"/>
        </w:trPr>
        <w:tc>
          <w:tcPr>
            <w:tcW w:type="dxa" w:w="2880"/>
          </w:tcPr>
          <w:p>
            <w:r>
              <w:t>Identifiant et niveau</w:t>
            </w:r>
          </w:p>
        </w:tc>
        <w:tc>
          <w:tcPr>
            <w:tcW w:type="dxa" w:w="2880"/>
          </w:tcPr>
          <w:p>
            <w:r>
              <w:t>Point à vérifier</w:t>
            </w:r>
          </w:p>
        </w:tc>
        <w:tc>
          <w:tcPr>
            <w:tcW w:type="dxa" w:w="2880"/>
          </w:tcPr>
          <w:p>
            <w:r>
              <w:t>Suivi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P-01 · P</w:t>
            </w:r>
          </w:p>
        </w:tc>
        <w:tc>
          <w:tcPr>
            <w:tcW w:type="dxa" w:w="2880"/>
          </w:tcPr>
          <w:p>
            <w:r>
              <w:t>Le titre principal et les titres de section utilisent des styles adaptés.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P-02 · P</w:t>
            </w:r>
          </w:p>
        </w:tc>
        <w:tc>
          <w:tcPr>
            <w:tcW w:type="dxa" w:w="2880"/>
          </w:tcPr>
          <w:p>
            <w:r>
              <w:t>La hiérarchie des titres ne saute aucun niveau.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P-03 · P</w:t>
            </w:r>
          </w:p>
        </w:tc>
        <w:tc>
          <w:tcPr>
            <w:tcW w:type="dxa" w:w="2880"/>
          </w:tcPr>
          <w:p>
            <w:r>
              <w:t>Le volet de navigation et le sommaire automatique reflètent le même plan.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P-04 · P</w:t>
            </w:r>
          </w:p>
        </w:tc>
        <w:tc>
          <w:tcPr>
            <w:tcW w:type="dxa" w:w="2880"/>
          </w:tcPr>
          <w:p>
            <w:r>
              <w:t>Les listes sont créées avec les fonctions de puces ou de numérotation.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P-05 · P</w:t>
            </w:r>
          </w:p>
        </w:tc>
        <w:tc>
          <w:tcPr>
            <w:tcW w:type="dxa" w:w="2880"/>
          </w:tcPr>
          <w:p>
            <w:r>
              <w:t>La mise en page n'est pas simulée par des caractères ou des paragraphes vides.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</w:tbl>
    <w:p>
      <w:pPr>
        <w:pStyle w:val="Heading1"/>
      </w:pPr>
      <w:r>
        <w:t>Rendre les contenus et les liens compréhensibles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 w:val="true"/>
        </w:trPr>
        <w:tc>
          <w:tcPr>
            <w:tcW w:type="dxa" w:w="2880"/>
          </w:tcPr>
          <w:p>
            <w:r>
              <w:t>Identifiant et niveau</w:t>
            </w:r>
          </w:p>
        </w:tc>
        <w:tc>
          <w:tcPr>
            <w:tcW w:type="dxa" w:w="2880"/>
          </w:tcPr>
          <w:p>
            <w:r>
              <w:t>Point à vérifier</w:t>
            </w:r>
          </w:p>
        </w:tc>
        <w:tc>
          <w:tcPr>
            <w:tcW w:type="dxa" w:w="2880"/>
          </w:tcPr>
          <w:p>
            <w:r>
              <w:t>Suivi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P-06 · P</w:t>
            </w:r>
          </w:p>
        </w:tc>
        <w:tc>
          <w:tcPr>
            <w:tcW w:type="dxa" w:w="2880"/>
          </w:tcPr>
          <w:p>
            <w:r>
              <w:t>Chaque image informative simple possède une alternative pertinente.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P-07 · P</w:t>
            </w:r>
          </w:p>
        </w:tc>
        <w:tc>
          <w:tcPr>
            <w:tcW w:type="dxa" w:w="2880"/>
          </w:tcPr>
          <w:p>
            <w:r>
              <w:t>Une image complexe possède une alternative courte et une description détaillée adjacente.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P-08 · P</w:t>
            </w:r>
          </w:p>
        </w:tc>
        <w:tc>
          <w:tcPr>
            <w:tcW w:type="dxa" w:w="2880"/>
          </w:tcPr>
          <w:p>
            <w:r>
              <w:t>Les images redondantes sont traitées comme décoratives sans masquer d'information.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P-09 · P</w:t>
            </w:r>
          </w:p>
        </w:tc>
        <w:tc>
          <w:tcPr>
            <w:tcW w:type="dxa" w:w="2880"/>
          </w:tcPr>
          <w:p>
            <w:r>
              <w:t>Les informations textuelles sont fournies en vrai texte, pas seulement en image.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P-10 · P</w:t>
            </w:r>
          </w:p>
        </w:tc>
        <w:tc>
          <w:tcPr>
            <w:tcW w:type="dxa" w:w="2880"/>
          </w:tcPr>
          <w:p>
            <w:r>
              <w:t>Chaque lien est compréhensible hors contexte et chaque téléchargement est décrit.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P-11 · P</w:t>
            </w:r>
          </w:p>
        </w:tc>
        <w:tc>
          <w:tcPr>
            <w:tcW w:type="dxa" w:w="2880"/>
          </w:tcPr>
          <w:p>
            <w:r>
              <w:t>Toute information essentielle portée par un en-tête, un filigrane ou un arrière-plan est aussi présente dans le corps.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</w:tbl>
    <w:p>
      <w:pPr>
        <w:pStyle w:val="Heading1"/>
      </w:pPr>
      <w:r>
        <w:t>Sécuriser couleurs, graphiques et tableaux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 w:val="true"/>
        </w:trPr>
        <w:tc>
          <w:tcPr>
            <w:tcW w:type="dxa" w:w="2880"/>
          </w:tcPr>
          <w:p>
            <w:r>
              <w:t>Identifiant et niveau</w:t>
            </w:r>
          </w:p>
        </w:tc>
        <w:tc>
          <w:tcPr>
            <w:tcW w:type="dxa" w:w="2880"/>
          </w:tcPr>
          <w:p>
            <w:r>
              <w:t>Point à vérifier</w:t>
            </w:r>
          </w:p>
        </w:tc>
        <w:tc>
          <w:tcPr>
            <w:tcW w:type="dxa" w:w="2880"/>
          </w:tcPr>
          <w:p>
            <w:r>
              <w:t>Suivi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P-12 · P</w:t>
            </w:r>
          </w:p>
        </w:tc>
        <w:tc>
          <w:tcPr>
            <w:tcW w:type="dxa" w:w="2880"/>
          </w:tcPr>
          <w:p>
            <w:r>
              <w:t>Les contrastes sont mesurés et atteignent le seuil correspondant au contenu.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P-13 · P</w:t>
            </w:r>
          </w:p>
        </w:tc>
        <w:tc>
          <w:tcPr>
            <w:tcW w:type="dxa" w:w="2880"/>
          </w:tcPr>
          <w:p>
            <w:r>
              <w:t>Une information donnée par la couleur possède aussi un repère non coloré.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P-14 · P</w:t>
            </w:r>
          </w:p>
        </w:tc>
        <w:tc>
          <w:tcPr>
            <w:tcW w:type="dxa" w:w="2880"/>
          </w:tcPr>
          <w:p>
            <w:r>
              <w:t>Les tableaux de données sont simples, titrés et possèdent des en-têtes identifiés.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</w:tbl>
    <w:p>
      <w:pPr>
        <w:pStyle w:val="Heading1"/>
      </w:pPr>
      <w:r>
        <w:t>Régler langues et lisibilité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 w:val="true"/>
        </w:trPr>
        <w:tc>
          <w:tcPr>
            <w:tcW w:type="dxa" w:w="2880"/>
          </w:tcPr>
          <w:p>
            <w:r>
              <w:t>Identifiant et niveau</w:t>
            </w:r>
          </w:p>
        </w:tc>
        <w:tc>
          <w:tcPr>
            <w:tcW w:type="dxa" w:w="2880"/>
          </w:tcPr>
          <w:p>
            <w:r>
              <w:t>Point à vérifier</w:t>
            </w:r>
          </w:p>
        </w:tc>
        <w:tc>
          <w:tcPr>
            <w:tcW w:type="dxa" w:w="2880"/>
          </w:tcPr>
          <w:p>
            <w:r>
              <w:t>Suivi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P-15 · P</w:t>
            </w:r>
          </w:p>
        </w:tc>
        <w:tc>
          <w:tcPr>
            <w:tcW w:type="dxa" w:w="2880"/>
          </w:tcPr>
          <w:p>
            <w:r>
              <w:t>La langue principale et les changements de langue sont correctement définis.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P-16 · P</w:t>
            </w:r>
          </w:p>
        </w:tc>
        <w:tc>
          <w:tcPr>
            <w:tcW w:type="dxa" w:w="2880"/>
          </w:tcPr>
          <w:p>
            <w:r>
              <w:t>Le corps utilise une police sans sérif, au moins 12 points, un interligne de 1,15 et un alignement à gauche.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P-17 · P</w:t>
            </w:r>
          </w:p>
        </w:tc>
        <w:tc>
          <w:tcPr>
            <w:tcW w:type="dxa" w:w="2880"/>
          </w:tcPr>
          <w:p>
            <w:r>
              <w:t>Les mots sont saisis normalement avec leurs accents avant toute mise en forme en majuscules.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P-18 · P</w:t>
            </w:r>
          </w:p>
        </w:tc>
        <w:tc>
          <w:tcPr>
            <w:tcW w:type="dxa" w:w="2880"/>
          </w:tcPr>
          <w:p>
            <w:r>
              <w:t>Les sigles sont développés à leur première occurrence et les majuscules sont vérifiées.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</w:tbl>
    <w:p>
      <w:pPr>
        <w:pStyle w:val="Heading1"/>
      </w:pPr>
      <w:r>
        <w:t>Finaliser, vérifier, exporter et contrôler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 w:val="true"/>
        </w:trPr>
        <w:tc>
          <w:tcPr>
            <w:tcW w:type="dxa" w:w="2880"/>
          </w:tcPr>
          <w:p>
            <w:r>
              <w:t>Identifiant et niveau</w:t>
            </w:r>
          </w:p>
        </w:tc>
        <w:tc>
          <w:tcPr>
            <w:tcW w:type="dxa" w:w="2880"/>
          </w:tcPr>
          <w:p>
            <w:r>
              <w:t>Point à vérifier</w:t>
            </w:r>
          </w:p>
        </w:tc>
        <w:tc>
          <w:tcPr>
            <w:tcW w:type="dxa" w:w="2880"/>
          </w:tcPr>
          <w:p>
            <w:r>
              <w:t>Suivi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P-19 · P</w:t>
            </w:r>
          </w:p>
        </w:tc>
        <w:tc>
          <w:tcPr>
            <w:tcW w:type="dxa" w:w="2880"/>
          </w:tcPr>
          <w:p>
            <w:r>
              <w:t>Le titre, l'auteur, la langue et le nom de fichier sont renseignés de façon descriptive.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P-20 · P</w:t>
            </w:r>
          </w:p>
        </w:tc>
        <w:tc>
          <w:tcPr>
            <w:tcW w:type="dxa" w:w="2880"/>
          </w:tcPr>
          <w:p>
            <w:r>
              <w:t>Le PDF est exporté avec ses propriétés, ses balises et ses signets.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C-01 · C</w:t>
            </w:r>
          </w:p>
        </w:tc>
        <w:tc>
          <w:tcPr>
            <w:tcW w:type="dxa" w:w="2880"/>
          </w:tcPr>
          <w:p>
            <w:r>
              <w:t>Le vérificateur a été exécuté, ses alertes pertinentes traitées et les alertes résiduelles expliquées.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C-02 · C</w:t>
            </w:r>
          </w:p>
        </w:tc>
        <w:tc>
          <w:tcPr>
            <w:tcW w:type="dxa" w:w="2880"/>
          </w:tcPr>
          <w:p>
            <w:r>
              <w:t>Le PDF a été contrôlé après export avec PAC ou Acrobat Pro puis avec la checklist humaine.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</w:tbl>
    <w:p>
      <w:pPr>
        <w:pStyle w:val="Heading1"/>
      </w:pPr>
      <w:r>
        <w:t>Contrôles signalés</w:t>
      </w:r>
    </w:p>
    <w:p>
      <w:r>
        <w:t>Ces points sont à vérifier avant diffusion, mais ne constituent pas des manipulations obligatoires du TP.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 w:val="true"/>
        </w:trPr>
        <w:tc>
          <w:tcPr>
            <w:tcW w:type="dxa" w:w="2880"/>
          </w:tcPr>
          <w:p>
            <w:r>
              <w:t>Identifiant et niveau</w:t>
            </w:r>
          </w:p>
        </w:tc>
        <w:tc>
          <w:tcPr>
            <w:tcW w:type="dxa" w:w="2880"/>
          </w:tcPr>
          <w:p>
            <w:r>
              <w:t>Point à vérifier</w:t>
            </w:r>
          </w:p>
        </w:tc>
        <w:tc>
          <w:tcPr>
            <w:tcW w:type="dxa" w:w="2880"/>
          </w:tcPr>
          <w:p>
            <w:r>
              <w:t>Suivi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S-01 · S</w:t>
            </w:r>
          </w:p>
        </w:tc>
        <w:tc>
          <w:tcPr>
            <w:tcW w:type="dxa" w:w="2880"/>
          </w:tcPr>
          <w:p>
            <w:r>
              <w:t>Le document n'est pas protégé lorsque sa modification doit rester possible.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S-02 · S</w:t>
            </w:r>
          </w:p>
        </w:tc>
        <w:tc>
          <w:tcPr>
            <w:tcW w:type="dxa" w:w="2880"/>
          </w:tcPr>
          <w:p>
            <w:r>
              <w:t>Le document ne contient aucun contenu clignotant.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S-03 · S</w:t>
            </w:r>
          </w:p>
        </w:tc>
        <w:tc>
          <w:tcPr>
            <w:tcW w:type="dxa" w:w="2880"/>
          </w:tcPr>
          <w:p>
            <w:r>
              <w:t>Le document ne contient pas de formulaire Word interactif.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S-04 · S</w:t>
            </w:r>
          </w:p>
        </w:tc>
        <w:tc>
          <w:tcPr>
            <w:tcW w:type="dxa" w:w="2880"/>
          </w:tcPr>
          <w:p>
            <w:r>
              <w:t>Les objets et zones de texte flottants ne portent aucune information essentielle.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t>S-05 · S</w:t>
            </w:r>
          </w:p>
        </w:tc>
        <w:tc>
          <w:tcPr>
            <w:tcW w:type="dxa" w:w="2880"/>
          </w:tcPr>
          <w:p>
            <w:r>
              <w:t>Les tableaux ne servent pas à la mise en page et ne sont pas flottants.</w:t>
            </w:r>
          </w:p>
        </w:tc>
        <w:tc>
          <w:tcPr>
            <w:tcW w:type="dxa" w:w="288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fr-F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left"/>
    </w:pPr>
    <w:rPr>
      <w:rFonts w:ascii="Arial" w:hAnsi="Arial"/>
      <w:sz w:val="24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fr-FR" w:eastAsia="fr-FR" w:bidi="fr-F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fr-FR" w:eastAsia="fr-FR" w:bidi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fr-FR" w:eastAsia="fr-FR" w:bidi="fr-F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fr-FR" w:eastAsia="fr-FR" w:bidi="fr-F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fr-FR" w:eastAsia="fr-FR" w:bidi="fr-F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fr-FR" w:eastAsia="fr-FR" w:bidi="fr-F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fr-FR" w:eastAsia="fr-FR" w:bidi="fr-F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accessibilité des documents bureautiques</dc:title>
  <dc:subject>Suivi du TP Word accessible</dc:subject>
  <dc:creator>IGPDE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