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Fiche équipement informatique - Salle de cours</w:t>
      </w:r>
    </w:p>
    <w:p>
      <w:pPr>
        <w:pStyle w:val="Heading1"/>
        <w:rPr/>
      </w:pPr>
      <w:bookmarkStart w:id="0" w:name="X053c9c785e31d411ab28fa89403e9098000d523"/>
      <w:r>
        <w:rPr/>
        <w:t>Fiche équipement informatique - Salle de cours</w:t>
      </w:r>
    </w:p>
    <w:p>
      <w:pPr>
        <w:pStyle w:val="FirstParagraph"/>
        <w:rPr/>
      </w:pPr>
      <w:r>
        <w:rPr/>
        <w:t>Fiche actualisée pour la formation 102846 « L’accessibilité numérique pour la bureautique et le web ».</w:t>
      </w:r>
    </w:p>
    <w:p>
      <w:pPr>
        <w:pStyle w:val="Compact"/>
        <w:numPr>
          <w:ilvl w:val="0"/>
          <w:numId w:val="1"/>
        </w:numPr>
        <w:rPr/>
      </w:pPr>
      <w:r>
        <w:rPr>
          <w:b/>
          <w:bCs/>
          <w:color w:val="000091"/>
        </w:rPr>
        <w:t>Libellé</w:t>
      </w:r>
      <w:r>
        <w:rPr/>
        <w:t xml:space="preserve"> : L’accessibilité numérique pour la bureautique et le web</w:t>
      </w:r>
    </w:p>
    <w:p>
      <w:pPr>
        <w:pStyle w:val="Compact"/>
        <w:numPr>
          <w:ilvl w:val="0"/>
          <w:numId w:val="1"/>
        </w:numPr>
        <w:rPr/>
      </w:pPr>
      <w:r>
        <w:rPr>
          <w:b/>
          <w:bCs/>
          <w:color w:val="000091"/>
        </w:rPr>
        <w:t>Code</w:t>
      </w:r>
      <w:r>
        <w:rPr/>
        <w:t xml:space="preserve"> : 102846</w:t>
      </w:r>
    </w:p>
    <w:p>
      <w:pPr>
        <w:pStyle w:val="Compact"/>
        <w:numPr>
          <w:ilvl w:val="0"/>
          <w:numId w:val="1"/>
        </w:numPr>
        <w:rPr/>
      </w:pPr>
      <w:r>
        <w:rPr>
          <w:b/>
          <w:bCs/>
          <w:color w:val="000091"/>
        </w:rPr>
        <w:t>Durée</w:t>
      </w:r>
      <w:r>
        <w:rPr/>
        <w:t xml:space="preserve"> : 1 jour</w:t>
      </w:r>
    </w:p>
    <w:p>
      <w:pPr>
        <w:pStyle w:val="Compact"/>
        <w:numPr>
          <w:ilvl w:val="0"/>
          <w:numId w:val="1"/>
        </w:numPr>
        <w:rPr/>
      </w:pPr>
      <w:r>
        <w:rPr>
          <w:b/>
          <w:bCs/>
          <w:color w:val="000091"/>
        </w:rPr>
        <w:t>Public</w:t>
      </w:r>
      <w:r>
        <w:rPr/>
        <w:t xml:space="preserve"> : communicants de toutes les directions des ministères et producteurs de contenu numérique</w:t>
      </w:r>
    </w:p>
    <w:p>
      <w:pPr>
        <w:pStyle w:val="Compact"/>
        <w:numPr>
          <w:ilvl w:val="0"/>
          <w:numId w:val="1"/>
        </w:numPr>
        <w:rPr/>
      </w:pPr>
      <w:r>
        <w:rPr>
          <w:b/>
          <w:bCs/>
          <w:color w:val="000091"/>
        </w:rPr>
        <w:t>Concepteur(s)</w:t>
      </w:r>
      <w:r>
        <w:rPr/>
        <w:t xml:space="preserve"> : Alexandra Guiderdoni / Bertrand Matge</w:t>
      </w:r>
    </w:p>
    <w:p>
      <w:pPr>
        <w:pStyle w:val="Heading2"/>
        <w:rPr/>
      </w:pPr>
      <w:bookmarkStart w:id="1" w:name="périmètre-pédagogique-à-couvrir"/>
      <w:r>
        <w:rPr/>
        <w:t>Périmètre pédagogique à couvrir</w:t>
      </w:r>
    </w:p>
    <w:p>
      <w:pPr>
        <w:pStyle w:val="Compact"/>
        <w:numPr>
          <w:ilvl w:val="0"/>
          <w:numId w:val="1"/>
        </w:numPr>
        <w:rPr/>
      </w:pPr>
      <w:r>
        <w:rPr/>
        <w:t>Introduction à l’accessibilité numérique, communication accessible et cadre légal.</w:t>
      </w:r>
    </w:p>
    <w:p>
      <w:pPr>
        <w:pStyle w:val="Compact"/>
        <w:numPr>
          <w:ilvl w:val="0"/>
          <w:numId w:val="1"/>
        </w:numPr>
        <w:rPr/>
      </w:pPr>
      <w:r>
        <w:rPr/>
        <w:t>Création et correction de documents bureautiques accessibles.</w:t>
      </w:r>
    </w:p>
    <w:p>
      <w:pPr>
        <w:pStyle w:val="Compact"/>
        <w:numPr>
          <w:ilvl w:val="0"/>
          <w:numId w:val="1"/>
        </w:numPr>
        <w:rPr/>
      </w:pPr>
      <w:r>
        <w:rPr/>
        <w:t>Exercice sur trois documents Word : version inaccessible, aide à la correction et version accessible.</w:t>
      </w:r>
    </w:p>
    <w:p>
      <w:pPr>
        <w:pStyle w:val="Compact"/>
        <w:numPr>
          <w:ilvl w:val="0"/>
          <w:numId w:val="1"/>
        </w:numPr>
        <w:rPr/>
      </w:pPr>
      <w:r>
        <w:rPr/>
        <w:t>Évaluations rapides d’accessibilité web avec le site d’exercice Easy Checks et la grille d’audit au format tableur.</w:t>
      </w:r>
    </w:p>
    <w:p>
      <w:pPr>
        <w:pStyle w:val="Compact"/>
        <w:numPr>
          <w:ilvl w:val="0"/>
          <w:numId w:val="1"/>
        </w:numPr>
        <w:rPr/>
      </w:pPr>
      <w:r>
        <w:rPr/>
        <w:t>Bonnes pratiques d’accessibilité pour les publications sur les réseaux sociaux.</w:t>
      </w:r>
    </w:p>
    <w:p>
      <w:pPr>
        <w:pStyle w:val="Heading2"/>
        <w:rPr/>
      </w:pPr>
      <w:bookmarkStart w:id="2" w:name="configuration-de-la-salle"/>
      <w:bookmarkEnd w:id="1"/>
      <w:r>
        <w:rPr/>
        <w:t>Configuration de la salle</w:t>
      </w:r>
    </w:p>
    <w:p>
      <w:pPr>
        <w:pStyle w:val="Heading3"/>
        <w:rPr/>
      </w:pPr>
      <w:bookmarkStart w:id="3" w:name="salle-et-projection"/>
      <w:r>
        <w:rPr/>
        <w:t>Salle et projection</w:t>
      </w:r>
    </w:p>
    <w:p>
      <w:pPr>
        <w:pStyle w:val="Compact"/>
        <w:numPr>
          <w:ilvl w:val="0"/>
          <w:numId w:val="1"/>
        </w:numPr>
        <w:rPr/>
      </w:pPr>
      <w:r>
        <w:rPr/>
        <w:t>Salle équipée d’ordinateurs pour l’ensemble des stagiaires.</w:t>
      </w:r>
    </w:p>
    <w:p>
      <w:pPr>
        <w:pStyle w:val="Compact"/>
        <w:numPr>
          <w:ilvl w:val="0"/>
          <w:numId w:val="1"/>
        </w:numPr>
        <w:rPr/>
      </w:pPr>
      <w:r>
        <w:rPr/>
        <w:t>Poste formateur connecté à un vidéoprojecteur ou à un écran de projection.</w:t>
      </w:r>
    </w:p>
    <w:p>
      <w:pPr>
        <w:pStyle w:val="Compact"/>
        <w:numPr>
          <w:ilvl w:val="0"/>
          <w:numId w:val="1"/>
        </w:numPr>
        <w:rPr/>
      </w:pPr>
      <w:r>
        <w:rPr/>
        <w:t>Connexion internet stable pour le poste formateur et les postes stagiaires.</w:t>
      </w:r>
    </w:p>
    <w:p>
      <w:pPr>
        <w:pStyle w:val="Compact"/>
        <w:numPr>
          <w:ilvl w:val="0"/>
          <w:numId w:val="1"/>
        </w:numPr>
        <w:rPr/>
      </w:pPr>
      <w:r>
        <w:rPr/>
        <w:t>Enceintes fonctionnelles pour les démonstrations audio ou vidéo.</w:t>
      </w:r>
    </w:p>
    <w:p>
      <w:pPr>
        <w:pStyle w:val="Compact"/>
        <w:numPr>
          <w:ilvl w:val="0"/>
          <w:numId w:val="1"/>
        </w:numPr>
        <w:rPr/>
      </w:pPr>
      <w:r>
        <w:rPr/>
        <w:t>Tableau blanc ou paperboard avec feutres.</w:t>
      </w:r>
    </w:p>
    <w:p>
      <w:pPr>
        <w:pStyle w:val="Compact"/>
        <w:numPr>
          <w:ilvl w:val="0"/>
          <w:numId w:val="1"/>
        </w:numPr>
        <w:rPr/>
      </w:pPr>
      <w:r>
        <w:rPr/>
        <w:t>Microphone selon la taille de la salle.</w:t>
      </w:r>
    </w:p>
    <w:p>
      <w:pPr>
        <w:pStyle w:val="Heading3"/>
        <w:rPr/>
      </w:pPr>
      <w:bookmarkStart w:id="4" w:name="poste-formateur"/>
      <w:bookmarkEnd w:id="3"/>
      <w:r>
        <w:rPr/>
        <w:t>Poste formateur</w:t>
      </w:r>
    </w:p>
    <w:p>
      <w:pPr>
        <w:pStyle w:val="Compact"/>
        <w:numPr>
          <w:ilvl w:val="0"/>
          <w:numId w:val="1"/>
        </w:numPr>
        <w:rPr/>
      </w:pPr>
      <w:r>
        <w:rPr/>
        <w:t>Système Windows récent, idéalement Windows 10 ou Windows 11.</w:t>
      </w:r>
    </w:p>
    <w:p>
      <w:pPr>
        <w:pStyle w:val="Compact"/>
        <w:numPr>
          <w:ilvl w:val="0"/>
          <w:numId w:val="1"/>
        </w:numPr>
        <w:rPr/>
      </w:pPr>
      <w:r>
        <w:rPr/>
        <w:t>Autorisation d’exécuter les logiciels portables et d’ajouter les extensions nécessaires dans les navigateurs avant la session, selon la politique de la DSI.</w:t>
      </w:r>
    </w:p>
    <w:p>
      <w:pPr>
        <w:pStyle w:val="Compact"/>
        <w:numPr>
          <w:ilvl w:val="0"/>
          <w:numId w:val="1"/>
        </w:numPr>
        <w:rPr/>
      </w:pPr>
      <w:r>
        <w:rPr/>
        <w:t>Microsoft Office avec Word</w:t>
      </w:r>
    </w:p>
    <w:p>
      <w:pPr>
        <w:pStyle w:val="Compact"/>
        <w:numPr>
          <w:ilvl w:val="0"/>
          <w:numId w:val="1"/>
        </w:numPr>
        <w:rPr/>
      </w:pPr>
      <w:r>
        <w:rPr/>
        <w:t>LibreOffice Writer</w:t>
      </w:r>
    </w:p>
    <w:p>
      <w:pPr>
        <w:pStyle w:val="Compact"/>
        <w:numPr>
          <w:ilvl w:val="0"/>
          <w:numId w:val="1"/>
        </w:numPr>
        <w:rPr/>
      </w:pPr>
      <w:r>
        <w:rPr/>
        <w:t>Navigateurs Firefox et Edge installés.</w:t>
      </w:r>
    </w:p>
    <w:p>
      <w:pPr>
        <w:pStyle w:val="Compact"/>
        <w:numPr>
          <w:ilvl w:val="0"/>
          <w:numId w:val="1"/>
        </w:numPr>
        <w:rPr/>
      </w:pPr>
      <w:r>
        <w:rPr/>
        <w:t>Accès aux dossiers d’exercices, aux six présentations du dossier supports-projections et au site Easy Checks.</w:t>
      </w:r>
    </w:p>
    <w:p>
      <w:pPr>
        <w:pStyle w:val="Heading3"/>
        <w:rPr/>
      </w:pPr>
      <w:bookmarkStart w:id="5" w:name="postes-stagiaires"/>
      <w:bookmarkEnd w:id="4"/>
      <w:r>
        <w:rPr/>
        <w:t>Postes stagiaires</w:t>
      </w:r>
    </w:p>
    <w:p>
      <w:pPr>
        <w:pStyle w:val="Compact"/>
        <w:numPr>
          <w:ilvl w:val="0"/>
          <w:numId w:val="1"/>
        </w:numPr>
        <w:rPr/>
      </w:pPr>
      <w:r>
        <w:rPr/>
        <w:t>Un poste par stagiaire ou par binôme selon l’organisation retenue.</w:t>
      </w:r>
    </w:p>
    <w:p>
      <w:pPr>
        <w:pStyle w:val="Compact"/>
        <w:numPr>
          <w:ilvl w:val="0"/>
          <w:numId w:val="1"/>
        </w:numPr>
        <w:rPr/>
      </w:pPr>
      <w:r>
        <w:rPr/>
        <w:t>Système Windows récent, idéalement Windows 10 ou Windows 11.</w:t>
      </w:r>
    </w:p>
    <w:p>
      <w:pPr>
        <w:pStyle w:val="Compact"/>
        <w:numPr>
          <w:ilvl w:val="0"/>
          <w:numId w:val="1"/>
        </w:numPr>
        <w:rPr/>
      </w:pPr>
      <w:r>
        <w:rPr/>
        <w:t>Microsoft Word installé.</w:t>
      </w:r>
    </w:p>
    <w:p>
      <w:pPr>
        <w:pStyle w:val="Compact"/>
        <w:numPr>
          <w:ilvl w:val="0"/>
          <w:numId w:val="1"/>
        </w:numPr>
        <w:rPr/>
      </w:pPr>
      <w:r>
        <w:rPr/>
        <w:t>LibreOffice Writer installé.</w:t>
      </w:r>
    </w:p>
    <w:p>
      <w:pPr>
        <w:pStyle w:val="Compact"/>
        <w:numPr>
          <w:ilvl w:val="0"/>
          <w:numId w:val="1"/>
        </w:numPr>
        <w:rPr/>
      </w:pPr>
      <w:r>
        <w:rPr/>
        <w:t>Navigateurs Firefox et Edge installés.</w:t>
      </w:r>
    </w:p>
    <w:p>
      <w:pPr>
        <w:pStyle w:val="Compact"/>
        <w:numPr>
          <w:ilvl w:val="0"/>
          <w:numId w:val="1"/>
        </w:numPr>
        <w:rPr/>
      </w:pPr>
      <w:r>
        <w:rPr/>
        <w:t>Prise jack ou sortie audio fonctionnelle.</w:t>
      </w:r>
    </w:p>
    <w:p>
      <w:pPr>
        <w:pStyle w:val="Compact"/>
        <w:numPr>
          <w:ilvl w:val="0"/>
          <w:numId w:val="1"/>
        </w:numPr>
        <w:rPr/>
      </w:pPr>
      <w:r>
        <w:rPr/>
        <w:t>Casque audio pour les tests avec lecteur d’écran et les supports vidéo.</w:t>
      </w:r>
    </w:p>
    <w:p>
      <w:pPr>
        <w:pStyle w:val="Compact"/>
        <w:numPr>
          <w:ilvl w:val="0"/>
          <w:numId w:val="1"/>
        </w:numPr>
        <w:rPr/>
      </w:pPr>
      <w:r>
        <w:rPr/>
        <w:t>Accès internet ouvert sur les sites utiles à la formation.</w:t>
      </w:r>
    </w:p>
    <w:p>
      <w:pPr>
        <w:pStyle w:val="Heading2"/>
        <w:rPr/>
      </w:pPr>
      <w:bookmarkStart w:id="6" w:name="logiciels-et-outils-à-préparer"/>
      <w:bookmarkEnd w:id="2"/>
      <w:bookmarkEnd w:id="5"/>
      <w:r>
        <w:rPr/>
        <w:t>Logiciels et outils à préparer</w:t>
      </w:r>
    </w:p>
    <w:p>
      <w:pPr>
        <w:pStyle w:val="Heading3"/>
        <w:rPr/>
      </w:pPr>
      <w:bookmarkStart w:id="7" w:name="bureautique"/>
      <w:r>
        <w:rPr/>
        <w:t>Bureautique</w:t>
      </w:r>
    </w:p>
    <w:p>
      <w:pPr>
        <w:pStyle w:val="Compact"/>
        <w:numPr>
          <w:ilvl w:val="0"/>
          <w:numId w:val="1"/>
        </w:numPr>
        <w:rPr/>
      </w:pPr>
      <w:r>
        <w:rPr/>
        <w:t>Microsoft Word pour les exercices sur documents bureautiques accessibles.</w:t>
      </w:r>
    </w:p>
    <w:p>
      <w:pPr>
        <w:pStyle w:val="Compact"/>
        <w:numPr>
          <w:ilvl w:val="0"/>
          <w:numId w:val="1"/>
        </w:numPr>
        <w:rPr/>
      </w:pPr>
      <w:r>
        <w:rPr/>
        <w:t>LibreOffice Writer pour la variante Writer des exercices, avec le mémo LibreOffice Writer.</w:t>
      </w:r>
    </w:p>
    <w:p>
      <w:pPr>
        <w:pStyle w:val="Compact"/>
        <w:numPr>
          <w:ilvl w:val="0"/>
          <w:numId w:val="1"/>
        </w:numPr>
        <w:rPr/>
      </w:pPr>
      <w:r>
        <w:rPr/>
        <w:t>Lecteur PDF pour ouvrir les supports exportés.</w:t>
      </w:r>
    </w:p>
    <w:p>
      <w:pPr>
        <w:pStyle w:val="Heading3"/>
        <w:rPr/>
      </w:pPr>
      <w:bookmarkStart w:id="8" w:name="outils-de-vérification-de-documents"/>
      <w:bookmarkEnd w:id="7"/>
      <w:r>
        <w:rPr/>
        <w:t>Outils de vérification de documents</w:t>
      </w:r>
    </w:p>
    <w:p>
      <w:pPr>
        <w:pStyle w:val="Compact"/>
        <w:numPr>
          <w:ilvl w:val="0"/>
          <w:numId w:val="1"/>
        </w:numPr>
        <w:rPr/>
      </w:pPr>
      <w:r>
        <w:rPr/>
        <w:t>Vérificateur d’accessibilité intégré de Microsoft Word.</w:t>
      </w:r>
    </w:p>
    <w:p>
      <w:pPr>
        <w:pStyle w:val="Compact"/>
        <w:numPr>
          <w:ilvl w:val="0"/>
          <w:numId w:val="1"/>
        </w:numPr>
        <w:rPr/>
      </w:pPr>
      <w:r>
        <w:rPr/>
        <w:t>PAC 24.4.4.0 portable disponible sur les postes pour contrôler le PDF ; .NET Framework 4.8 ou supérieur est requis.</w:t>
      </w:r>
    </w:p>
    <w:p>
      <w:pPr>
        <w:pStyle w:val="Compact"/>
        <w:numPr>
          <w:ilvl w:val="0"/>
          <w:numId w:val="1"/>
        </w:numPr>
        <w:rPr/>
      </w:pPr>
      <w:r>
        <w:rPr/>
        <w:t>Acrobat Pro préparé comme solution de remplacement si PAC n’est pas disponible.</w:t>
      </w:r>
    </w:p>
    <w:p>
      <w:pPr>
        <w:pStyle w:val="Compact"/>
        <w:numPr>
          <w:ilvl w:val="0"/>
          <w:numId w:val="1"/>
        </w:numPr>
        <w:rPr/>
      </w:pPr>
      <w:r>
        <w:rPr/>
        <w:t xml:space="preserve">Version portable 3.5.5 de </w:t>
      </w:r>
      <w:hyperlink r:id="rId2">
        <w:r>
          <w:rPr>
            <w:rStyle w:val="Hyperlink"/>
          </w:rPr>
          <w:t>Colour Contrast Analyser</w:t>
        </w:r>
      </w:hyperlink>
      <w:r>
        <w:rPr/>
        <w:t xml:space="preserve"> pour mesurer les contrastes.</w:t>
      </w:r>
    </w:p>
    <w:p>
      <w:pPr>
        <w:pStyle w:val="Heading3"/>
        <w:rPr/>
      </w:pPr>
      <w:bookmarkStart w:id="9" w:name="lecteur-décran-et-assistance-aux-tests"/>
      <w:bookmarkEnd w:id="8"/>
      <w:r>
        <w:rPr/>
        <w:t>Lecteur d’écran et assistance aux tests</w:t>
      </w:r>
    </w:p>
    <w:p>
      <w:pPr>
        <w:pStyle w:val="Compact"/>
        <w:numPr>
          <w:ilvl w:val="0"/>
          <w:numId w:val="1"/>
        </w:numPr>
        <w:rPr/>
      </w:pPr>
      <w:hyperlink r:id="rId3">
        <w:r>
          <w:rPr>
            <w:rStyle w:val="Hyperlink"/>
          </w:rPr>
          <w:t>NVDA</w:t>
        </w:r>
      </w:hyperlink>
      <w:r>
        <w:rPr/>
        <w:t xml:space="preserve"> 2026.2 en copie portable disponible sur les postes formateur et stagiaires.</w:t>
      </w:r>
    </w:p>
    <w:p>
      <w:pPr>
        <w:pStyle w:val="Compact"/>
        <w:numPr>
          <w:ilvl w:val="0"/>
          <w:numId w:val="1"/>
        </w:numPr>
        <w:rPr/>
      </w:pPr>
      <w:r>
        <w:rPr/>
        <w:t xml:space="preserve">Complément </w:t>
      </w:r>
      <w:hyperlink r:id="rId4">
        <w:r>
          <w:rPr>
            <w:rStyle w:val="Hyperlink"/>
          </w:rPr>
          <w:t>Focus Highlight</w:t>
        </w:r>
      </w:hyperlink>
      <w:r>
        <w:rPr/>
        <w:t xml:space="preserve"> 6.6 facultatif : compatibilité avec NVDA 2026.2 à vérifier sur un poste avant tout déploiement.</w:t>
      </w:r>
    </w:p>
    <w:p>
      <w:pPr>
        <w:pStyle w:val="Compact"/>
        <w:numPr>
          <w:ilvl w:val="0"/>
          <w:numId w:val="1"/>
        </w:numPr>
        <w:rPr/>
      </w:pPr>
      <w:r>
        <w:rPr/>
        <w:t>Casques audio disponibles pour les démonstrations ou manipulations.</w:t>
      </w:r>
    </w:p>
    <w:p>
      <w:pPr>
        <w:pStyle w:val="Heading3"/>
        <w:rPr/>
      </w:pPr>
      <w:bookmarkStart w:id="10" w:name="navigateurs-et-extensions"/>
      <w:bookmarkEnd w:id="9"/>
      <w:r>
        <w:rPr/>
        <w:t>Navigateurs et extensions</w:t>
      </w:r>
    </w:p>
    <w:p>
      <w:pPr>
        <w:pStyle w:val="Compact"/>
        <w:numPr>
          <w:ilvl w:val="0"/>
          <w:numId w:val="1"/>
        </w:numPr>
        <w:rPr/>
      </w:pPr>
      <w:r>
        <w:rPr/>
        <w:t>Firefox installé sur le poste formateur et les postes stagiaires.</w:t>
      </w:r>
    </w:p>
    <w:p>
      <w:pPr>
        <w:pStyle w:val="Compact"/>
        <w:numPr>
          <w:ilvl w:val="0"/>
          <w:numId w:val="1"/>
        </w:numPr>
        <w:rPr/>
      </w:pPr>
      <w:r>
        <w:rPr/>
        <w:t>Edge installé sur le poste formateur et les postes stagiaires.</w:t>
      </w:r>
    </w:p>
    <w:p>
      <w:pPr>
        <w:pStyle w:val="Compact"/>
        <w:numPr>
          <w:ilvl w:val="0"/>
          <w:numId w:val="1"/>
        </w:numPr>
        <w:rPr>
          <w:lang w:val="en-US"/>
        </w:rPr>
      </w:pPr>
      <w:r>
        <w:rPr>
          <w:lang w:val="en-US"/>
        </w:rPr>
        <w:t xml:space="preserve">Extensions Firefox à préparer selon le guide du pack, dont </w:t>
      </w:r>
      <w:hyperlink r:id="rId5">
        <w:r>
          <w:rPr>
            <w:rStyle w:val="Hyperlink"/>
            <w:lang w:val="en-US"/>
          </w:rPr>
          <w:t>Web Developer</w:t>
        </w:r>
      </w:hyperlink>
      <w:r>
        <w:rPr>
          <w:lang w:val="en-US"/>
        </w:rPr>
        <w:t xml:space="preserve">, </w:t>
      </w:r>
      <w:hyperlink r:id="rId6">
        <w:r>
          <w:rPr>
            <w:rStyle w:val="Hyperlink"/>
            <w:lang w:val="en-US"/>
          </w:rPr>
          <w:t>HeadingsMap</w:t>
        </w:r>
      </w:hyperlink>
      <w:r>
        <w:rPr>
          <w:lang w:val="en-US"/>
        </w:rPr>
        <w:t xml:space="preserve">, </w:t>
      </w:r>
      <w:hyperlink r:id="rId7">
        <w:r>
          <w:rPr>
            <w:rStyle w:val="Hyperlink"/>
            <w:lang w:val="en-US"/>
          </w:rPr>
          <w:t>Stylus</w:t>
        </w:r>
      </w:hyperlink>
      <w:r>
        <w:rPr>
          <w:lang w:val="en-US"/>
        </w:rPr>
        <w:t xml:space="preserve"> ; prévoir aussi les extensions Edge nécessaires aux démonstrations.</w:t>
      </w:r>
    </w:p>
    <w:p>
      <w:pPr>
        <w:pStyle w:val="Compact"/>
        <w:numPr>
          <w:ilvl w:val="0"/>
          <w:numId w:val="1"/>
        </w:numPr>
        <w:rPr/>
      </w:pPr>
      <w:r>
        <w:rPr/>
        <w:t xml:space="preserve">Extension Edge complémentaire : </w:t>
      </w:r>
      <w:hyperlink r:id="rId8">
        <w:r>
          <w:rPr>
            <w:rStyle w:val="Hyperlink"/>
          </w:rPr>
          <w:t>Silktide</w:t>
        </w:r>
      </w:hyperlink>
      <w:r>
        <w:rPr/>
        <w:t xml:space="preserve"> Accessibility Checker.</w:t>
      </w:r>
    </w:p>
    <w:p>
      <w:pPr>
        <w:pStyle w:val="Compact"/>
        <w:numPr>
          <w:ilvl w:val="0"/>
          <w:numId w:val="1"/>
        </w:numPr>
        <w:rPr/>
      </w:pPr>
      <w:r>
        <w:rPr/>
        <w:t xml:space="preserve">Accès au service </w:t>
      </w:r>
      <w:hyperlink r:id="rId9">
        <w:r>
          <w:rPr>
            <w:rStyle w:val="Hyperlink"/>
          </w:rPr>
          <w:t>Contrast Finder</w:t>
        </w:r>
      </w:hyperlink>
      <w:r>
        <w:rPr/>
        <w:t xml:space="preserve"> pour rechercher des couleurs de contraste conformes.</w:t>
      </w:r>
    </w:p>
    <w:p>
      <w:pPr>
        <w:pStyle w:val="Heading2"/>
        <w:rPr/>
      </w:pPr>
      <w:bookmarkStart w:id="11" w:name="supports-et-fichiers-à-déposer"/>
      <w:bookmarkEnd w:id="6"/>
      <w:bookmarkEnd w:id="10"/>
      <w:r>
        <w:rPr/>
        <w:t>Supports et fichiers à déposer</w:t>
      </w:r>
    </w:p>
    <w:p>
      <w:pPr>
        <w:pStyle w:val="Heading3"/>
        <w:rPr/>
      </w:pPr>
      <w:bookmarkStart w:id="12" w:name="poste-formateur-1"/>
      <w:r>
        <w:rPr/>
        <w:t>Poste formateur</w:t>
      </w:r>
    </w:p>
    <w:p>
      <w:pPr>
        <w:pStyle w:val="Compact"/>
        <w:keepNext/>
        <w:numPr>
          <w:ilvl w:val="0"/>
          <w:numId w:val="1"/>
        </w:numPr>
        <w:rPr/>
      </w:pPr>
      <w:r>
        <w:rPr/>
        <w:t xml:space="preserve">Support officiel IGPDE : </w:t>
      </w:r>
      <w:r>
        <w:rPr>
          <w:rStyle w:val="VerbatimChar"/>
        </w:rPr>
        <w:t>support-formation-102846-2026-IGPDE.pptx</w:t>
      </w:r>
      <w:r>
        <w:rPr/>
        <w:t>.</w:t>
      </w:r>
    </w:p>
    <w:p>
      <w:pPr>
        <w:pStyle w:val="Compact"/>
        <w:keepLines/>
        <w:numPr>
          <w:ilvl w:val="0"/>
          <w:numId w:val="1"/>
        </w:numPr>
      </w:pPr>
      <w:r>
        <w:t>Présentations projetées du dossier supports-projections : 00-introduction-et-idees-recues.pptx ; 01-accessibilite-numerique-et-cadre-legal.pptx ; 02-documents-bureautiques-accessibles-tp.pptx ; 03-web-accessible-tp.pptx ; 04-reseaux-sociaux-accessibles.pptx.</w:t>
      </w:r>
    </w:p>
    <w:p>
      <w:pPr>
        <w:pStyle w:val="Compact"/>
        <w:numPr>
          <w:ilvl w:val="0"/>
          <w:numId w:val="1"/>
        </w:numPr>
        <w:rPr/>
      </w:pPr>
      <w:r>
        <w:rPr/>
        <w:t>Documents de l’exercice : versions inaccessible et avec pistes, puis version accessible conservée comme corrigé de référence.</w:t>
      </w:r>
    </w:p>
    <w:p>
      <w:pPr>
        <w:pStyle w:val="Compact"/>
        <w:numPr>
          <w:ilvl w:val="0"/>
          <w:numId w:val="1"/>
        </w:numPr>
        <w:rPr/>
      </w:pPr>
      <w:r>
        <w:rPr/>
        <w:t>Grille d’audit Easy Checks au format tableur.</w:t>
      </w:r>
    </w:p>
    <w:p>
      <w:pPr>
        <w:pStyle w:val="Compact"/>
        <w:numPr>
          <w:ilvl w:val="0"/>
          <w:numId w:val="1"/>
        </w:numPr>
        <w:rPr/>
      </w:pPr>
      <w:r>
        <w:rPr/>
        <w:t>Accès au site d’exercice Easy Checks publié :</w:t>
        <w:br/>
      </w:r>
      <w:hyperlink r:id="rId10">
        <w:r>
          <w:rPr>
            <w:rStyle w:val="Hyperlink"/>
          </w:rPr>
          <w:t>https://alexandra-guiderdoni.github.io/tp-fabrication-igpde-102846-ay11/</w:t>
        </w:r>
      </w:hyperlink>
    </w:p>
    <w:p>
      <w:pPr>
        <w:pStyle w:val="Compact"/>
        <w:numPr>
          <w:ilvl w:val="0"/>
          <w:numId w:val="1"/>
        </w:numPr>
        <w:rPr/>
      </w:pPr>
      <w:r>
        <w:rPr/>
        <w:t>Démo émojis et lecteurs d’écran (séquence réseaux sociaux), avec une copie hors ligne dans le dossier tp-reseaux-sociaux-igpde :</w:t>
        <w:br/>
      </w:r>
      <w:hyperlink r:id="rId11">
        <w:r>
          <w:rPr>
            <w:rStyle w:val="Hyperlink"/>
          </w:rPr>
          <w:t>https://alexandra-guiderdoni.github.io/tp-fabrication-igpde-102846-ay11/</w:t>
          <w:br/>
          <w:t>demo-mauvaise-restitution-emojis.html</w:t>
        </w:r>
      </w:hyperlink>
    </w:p>
    <w:p>
      <w:pPr>
        <w:pStyle w:val="Compact"/>
        <w:numPr>
          <w:ilvl w:val="0"/>
          <w:numId w:val="1"/>
        </w:numPr>
        <w:rPr/>
      </w:pPr>
      <w:r>
        <w:rPr/>
        <w:t>Exemples de publications sur les réseaux sociaux pour l’analyse et la correction.</w:t>
      </w:r>
    </w:p>
    <w:p>
      <w:pPr>
        <w:pStyle w:val="Compact"/>
        <w:numPr>
          <w:ilvl w:val="0"/>
          <w:numId w:val="1"/>
        </w:numPr>
        <w:rPr/>
      </w:pPr>
      <w:r>
        <w:rPr/>
        <w:t>Fiche des liens pour les stagiaires : Livrables-Stagiaires/liens-pour-les-stagiaires.pdf.</w:t>
      </w:r>
    </w:p>
    <w:p>
      <w:pPr>
        <w:pStyle w:val="Compact"/>
        <w:numPr>
          <w:ilvl w:val="0"/>
          <w:numId w:val="1"/>
        </w:numPr>
        <w:rPr/>
      </w:pPr>
      <w:r>
        <w:rPr/>
        <w:t>Fiches mémo Word et LibreOffice Writer (PDF).</w:t>
      </w:r>
    </w:p>
    <w:p>
      <w:pPr>
        <w:pStyle w:val="Compact"/>
        <w:numPr>
          <w:ilvl w:val="0"/>
          <w:numId w:val="1"/>
        </w:numPr>
        <w:rPr/>
      </w:pPr>
      <w:r>
        <w:rPr/>
        <w:t>Fiche formateur et fiche stagiaire sur les principes WCAG (PDF).</w:t>
      </w:r>
    </w:p>
    <w:p>
      <w:pPr>
        <w:pStyle w:val="Compact"/>
        <w:numPr>
          <w:ilvl w:val="0"/>
          <w:numId w:val="1"/>
        </w:numPr>
        <w:rPr/>
      </w:pPr>
      <w:r>
        <w:rPr/>
        <w:t>Cartes des critères WCAG 2.2, 6 par page (PDF, à imprimer avant la session).</w:t>
      </w:r>
    </w:p>
    <w:p>
      <w:pPr>
        <w:pStyle w:val="Compact"/>
        <w:numPr>
          <w:ilvl w:val="0"/>
          <w:numId w:val="1"/>
        </w:numPr>
        <w:rPr/>
      </w:pPr>
      <w:r>
        <w:rPr/>
        <w:t>Six cartes idées reçues pour l’activité brise-glace (PDF, à imprimer avant la session).</w:t>
      </w:r>
    </w:p>
    <w:p>
      <w:pPr>
        <w:pStyle w:val="Heading3"/>
        <w:rPr/>
      </w:pPr>
      <w:bookmarkStart w:id="13" w:name="postes-stagiaires-1"/>
      <w:bookmarkEnd w:id="12"/>
      <w:r>
        <w:rPr/>
        <w:t>Postes stagiaires</w:t>
      </w:r>
    </w:p>
    <w:p>
      <w:pPr>
        <w:pStyle w:val="Compact"/>
        <w:numPr>
          <w:ilvl w:val="0"/>
          <w:numId w:val="1"/>
        </w:numPr>
        <w:rPr/>
      </w:pPr>
      <w:r>
        <w:rPr/>
        <w:t>Au début du TP, un seul document de départ par binôme : version avec pistes ou version inaccessible.</w:t>
      </w:r>
    </w:p>
    <w:p>
      <w:pPr>
        <w:pStyle w:val="Compact"/>
        <w:numPr>
          <w:ilvl w:val="0"/>
          <w:numId w:val="1"/>
        </w:numPr>
        <w:rPr/>
      </w:pPr>
      <w:r>
        <w:rPr/>
        <w:t>Checklist accessibilité bureautique au format DOCX remplissable ou en version papier.</w:t>
      </w:r>
    </w:p>
    <w:p>
      <w:pPr>
        <w:pStyle w:val="Compact"/>
        <w:numPr>
          <w:ilvl w:val="0"/>
          <w:numId w:val="1"/>
        </w:numPr>
        <w:rPr/>
      </w:pPr>
      <w:r>
        <w:rPr/>
        <w:t>Grille d’audit Easy Checks au format tableur.</w:t>
      </w:r>
    </w:p>
    <w:p>
      <w:pPr>
        <w:pStyle w:val="Compact"/>
        <w:numPr>
          <w:ilvl w:val="0"/>
          <w:numId w:val="1"/>
        </w:numPr>
        <w:rPr/>
      </w:pPr>
      <w:r>
        <w:rPr/>
        <w:t>Lien vers le site d’exercice Easy Checks :</w:t>
        <w:br/>
      </w:r>
      <w:hyperlink r:id="rId12">
        <w:r>
          <w:rPr>
            <w:rStyle w:val="Hyperlink"/>
          </w:rPr>
          <w:t>https://alexandra-guiderdoni.github.io/tp-fabrication-igpde-102846-ay11/</w:t>
        </w:r>
      </w:hyperlink>
    </w:p>
    <w:p>
      <w:pPr>
        <w:pStyle w:val="Compact"/>
        <w:numPr>
          <w:ilvl w:val="0"/>
          <w:numId w:val="1"/>
        </w:numPr>
        <w:rPr/>
      </w:pPr>
      <w:r>
        <w:rPr/>
        <w:t>Lien vers la démo émojis et lecteurs d’écran :</w:t>
        <w:br/>
      </w:r>
      <w:hyperlink r:id="rId13">
        <w:r>
          <w:rPr>
            <w:rStyle w:val="Hyperlink"/>
          </w:rPr>
          <w:t>https://alexandra-guiderdoni.github.io/tp-fabrication-igpde-102846-ay11/</w:t>
          <w:br/>
          <w:t>demo-mauvaise-restitution-emojis.html</w:t>
        </w:r>
      </w:hyperlink>
    </w:p>
    <w:p>
      <w:pPr>
        <w:pStyle w:val="Compact"/>
        <w:numPr>
          <w:ilvl w:val="0"/>
          <w:numId w:val="1"/>
        </w:numPr>
        <w:rPr/>
      </w:pPr>
      <w:r>
        <w:rPr/>
        <w:t>Fiche liens-pour-les-stagiaires.pdf, avec les cinq présentations projetées et les ressources en ligne.</w:t>
      </w:r>
    </w:p>
    <w:p>
      <w:pPr>
        <w:pStyle w:val="Compact"/>
        <w:numPr>
          <w:ilvl w:val="0"/>
          <w:numId w:val="1"/>
        </w:numPr>
        <w:rPr/>
      </w:pPr>
      <w:r>
        <w:rPr/>
        <w:t>Fiches mémo Word et LibreOffice Writer (PDF).</w:t>
      </w:r>
    </w:p>
    <w:p>
      <w:pPr>
        <w:pStyle w:val="Compact"/>
        <w:numPr>
          <w:ilvl w:val="0"/>
          <w:numId w:val="1"/>
        </w:numPr>
        <w:rPr/>
      </w:pPr>
      <w:r>
        <w:rPr/>
        <w:t>Fiche stagiaire sur les principes WCAG, à garder sous la main (PDF).</w:t>
      </w:r>
    </w:p>
    <w:p>
      <w:pPr>
        <w:pStyle w:val="Compact"/>
        <w:numPr>
          <w:ilvl w:val="0"/>
          <w:numId w:val="1"/>
        </w:numPr>
        <w:rPr/>
      </w:pPr>
      <w:r>
        <w:rPr/>
        <w:t>Support ou mémo de prise de notes si prévu par l’organisation.</w:t>
      </w:r>
    </w:p>
    <w:p>
      <w:pPr>
        <w:pStyle w:val="Compact"/>
        <w:numPr>
          <w:ilvl w:val="0"/>
          <w:numId w:val="1"/>
        </w:numPr>
        <w:rPr/>
      </w:pPr>
      <w:r>
        <w:rPr/>
        <w:t>Dossier de restitution si une collecte de travaux est demandée.</w:t>
      </w:r>
    </w:p>
    <w:p>
      <w:pPr>
        <w:pStyle w:val="Heading2"/>
        <w:rPr/>
      </w:pPr>
      <w:bookmarkStart w:id="14" w:name="accès-internet-à-autoriser"/>
      <w:bookmarkEnd w:id="11"/>
      <w:bookmarkEnd w:id="13"/>
      <w:r>
        <w:rPr/>
        <w:t>Accès internet à autoriser</w:t>
      </w:r>
    </w:p>
    <w:p>
      <w:pPr>
        <w:pStyle w:val="TableCaption"/>
        <w:rPr/>
      </w:pPr>
      <w:r>
        <w:rPr/>
        <w:t>Sites et services externes à autoriser pour la formation.</w:t>
      </w:r>
    </w:p>
    <w:tbl>
      <w:tblPr>
        <w:tblStyle w:val="Table"/>
        <w:tblW w:w="5000" w:type="pct"/>
        <w:jc w:val="center"/>
        <w:tblInd w:w="0" w:type="dxa"/>
        <w:tblLayout w:type="fixed"/>
        <w:tblCellMar>
          <w:top w:w="0" w:type="dxa"/>
          <w:start w:w="108" w:type="dxa"/>
          <w:bottom w:w="0" w:type="dxa"/>
          <w:end w:w="108" w:type="dxa"/>
        </w:tblCellMar>
        <w:tblLook w:noHBand="0" w:lastColumn="0" w:firstColumn="0" w:lastRow="0" w:firstRow="1" w:noVBand="0" w:val="0020"/>
      </w:tblPr>
      <w:tblGrid>
        <w:gridCol w:w="3024"/>
        <w:gridCol w:w="3024"/>
        <w:gridCol w:w="3024"/>
      </w:tblGrid>
      <w:tr>
        <w:trPr>
          <w:tblHeader w:val="true"/>
          <w:cantSplit/>
          <w:cnfStyle w:val="100000000000" w:firstRow="1" w:lastRow="0" w:firstColumn="0" w:lastColumn="0" w:oddVBand="0" w:evenVBand="0" w:oddHBand="0" w:evenHBand="0" w:firstRowFirstColumn="0" w:firstRowLastColumn="0" w:lastRowFirstColumn="0" w:lastRowLastColumn="0"/>
        </w:trPr>
        <w:tc>
          <w:tcPr>
            <w:tcW w:w="3024" w:type="dxa"/>
            <w:tcBorders>
              <w:bottom w:val="single" w:sz="6" w:space="0" w:color="000000"/>
            </w:tcBorders>
            <w:shd w:color="auto" w:fill="000091" w:val="clear"/>
            <w:vAlign w:val="bottom"/>
          </w:tcPr>
          <w:p>
            <w:pPr>
              <w:pStyle w:val="Compact"/>
              <w:widowControl/>
              <w:spacing w:before="36" w:after="120"/>
              <w:jc w:val="start"/>
              <w:rPr>
                <w:rFonts w:eastAsia="" w:cs=""/>
                <w:kern w:val="0"/>
                <w:szCs w:val="24"/>
                <w:lang w:val="fr-FR" w:eastAsia="zh-CN" w:bidi="ar-SA"/>
              </w:rPr>
            </w:pPr>
            <w:r>
              <w:rPr>
                <w:rFonts w:eastAsia="" w:cs=""/>
                <w:b/>
                <w:color w:val="FFFFFF"/>
                <w:kern w:val="0"/>
                <w:szCs w:val="24"/>
                <w:lang w:val="fr-FR" w:eastAsia="zh-CN" w:bidi="ar-SA"/>
              </w:rPr>
              <w:t>Site ou service</w:t>
            </w:r>
          </w:p>
        </w:tc>
        <w:tc>
          <w:tcPr>
            <w:tcW w:w="3024" w:type="dxa"/>
            <w:tcBorders>
              <w:bottom w:val="single" w:sz="6" w:space="0" w:color="000000"/>
            </w:tcBorders>
            <w:shd w:color="auto" w:fill="000091" w:val="clear"/>
            <w:vAlign w:val="bottom"/>
          </w:tcPr>
          <w:p>
            <w:pPr>
              <w:pStyle w:val="Compact"/>
              <w:widowControl/>
              <w:spacing w:before="36" w:after="120"/>
              <w:jc w:val="start"/>
              <w:rPr>
                <w:rFonts w:eastAsia="" w:cs=""/>
                <w:kern w:val="0"/>
                <w:szCs w:val="24"/>
                <w:lang w:val="fr-FR" w:eastAsia="zh-CN" w:bidi="ar-SA"/>
              </w:rPr>
            </w:pPr>
            <w:r>
              <w:rPr>
                <w:rFonts w:eastAsia="" w:cs=""/>
                <w:b/>
                <w:color w:val="FFFFFF"/>
                <w:kern w:val="0"/>
                <w:szCs w:val="24"/>
                <w:lang w:val="fr-FR" w:eastAsia="zh-CN" w:bidi="ar-SA"/>
              </w:rPr>
              <w:t>Usage pendant la formation</w:t>
            </w:r>
          </w:p>
        </w:tc>
        <w:tc>
          <w:tcPr>
            <w:tcW w:w="3024" w:type="dxa"/>
            <w:tcBorders>
              <w:bottom w:val="single" w:sz="6" w:space="0" w:color="000000"/>
            </w:tcBorders>
            <w:shd w:color="auto" w:fill="000091" w:val="clear"/>
            <w:vAlign w:val="bottom"/>
          </w:tcPr>
          <w:p>
            <w:pPr>
              <w:pStyle w:val="Compact"/>
              <w:widowControl/>
              <w:spacing w:before="36" w:after="120"/>
              <w:jc w:val="start"/>
              <w:rPr>
                <w:rFonts w:eastAsia="" w:cs=""/>
                <w:kern w:val="0"/>
                <w:szCs w:val="24"/>
                <w:lang w:val="fr-FR" w:eastAsia="zh-CN" w:bidi="ar-SA"/>
              </w:rPr>
            </w:pPr>
            <w:r>
              <w:rPr>
                <w:rFonts w:eastAsia="" w:cs=""/>
                <w:b/>
                <w:color w:val="FFFFFF"/>
                <w:kern w:val="0"/>
                <w:szCs w:val="24"/>
                <w:lang w:val="fr-FR" w:eastAsia="zh-CN" w:bidi="ar-SA"/>
              </w:rPr>
              <w:t>Remarque</w:t>
            </w:r>
          </w:p>
        </w:tc>
      </w:tr>
      <w:tr>
        <w:trPr>
          <w:cantSplit/>
        </w:trPr>
        <w:tc>
          <w:tcPr>
            <w:tcW w:w="3024" w:type="dxa"/>
            <w:tcBorders/>
          </w:tcPr>
          <w:p>
            <w:pPr>
              <w:pStyle w:val="Compact"/>
              <w:widowControl/>
              <w:spacing w:before="36" w:after="120"/>
              <w:jc w:val="start"/>
              <w:rPr>
                <w:rFonts w:eastAsia="" w:cs=""/>
                <w:kern w:val="0"/>
                <w:szCs w:val="24"/>
                <w:lang w:val="fr-FR" w:eastAsia="zh-CN" w:bidi="ar-SA"/>
              </w:rPr>
            </w:pPr>
            <w:hyperlink r:id="rId14">
              <w:r>
                <w:rPr>
                  <w:rStyle w:val="Hyperlink"/>
                  <w:rFonts w:eastAsia="" w:cs=""/>
                  <w:kern w:val="0"/>
                  <w:szCs w:val="24"/>
                  <w:lang w:val="fr-FR" w:eastAsia="zh-CN" w:bidi="ar-SA"/>
                </w:rPr>
                <w:t>Site d’exercice Easy Checks</w:t>
              </w:r>
            </w:hyperlink>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Exercices de contrôles rapides web</w:t>
            </w:r>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Accès indispensable pendant le module web. Domaine à autoriser : alexandra-guiderdoni.github.io.</w:t>
            </w:r>
          </w:p>
        </w:tc>
      </w:tr>
      <w:tr>
        <w:trPr>
          <w:cantSplit/>
        </w:trPr>
        <w:tc>
          <w:tcPr>
            <w:tcW w:w="3024" w:type="dxa"/>
            <w:tcBorders/>
          </w:tcPr>
          <w:p>
            <w:pPr>
              <w:pStyle w:val="Compact"/>
              <w:widowControl/>
              <w:spacing w:before="36" w:after="120"/>
              <w:jc w:val="start"/>
              <w:rPr>
                <w:rFonts w:eastAsia="" w:cs=""/>
                <w:kern w:val="0"/>
                <w:szCs w:val="24"/>
                <w:lang w:val="fr-FR" w:eastAsia="zh-CN" w:bidi="ar-SA"/>
              </w:rPr>
            </w:pPr>
            <w:hyperlink r:id="rId15">
              <w:r>
                <w:rPr>
                  <w:rStyle w:val="Hyperlink"/>
                  <w:rFonts w:eastAsia="" w:cs=""/>
                  <w:kern w:val="0"/>
                  <w:szCs w:val="24"/>
                  <w:lang w:val="fr-FR" w:eastAsia="zh-CN" w:bidi="ar-SA"/>
                </w:rPr>
                <w:t>Démo émojis et lecteurs d’écran</w:t>
              </w:r>
            </w:hyperlink>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Démonstration lecteur d’écran pendant la séquence réseaux sociaux</w:t>
            </w:r>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Même domaine que le site d’exercice (alexandra-guiderdoni.github.io).</w:t>
            </w:r>
          </w:p>
        </w:tc>
      </w:tr>
      <w:tr>
        <w:trPr>
          <w:cantSplit/>
        </w:trPr>
        <w:tc>
          <w:tcPr>
            <w:tcW w:w="3024" w:type="dxa"/>
            <w:tcBorders/>
            <w:shd w:color="auto" w:fill="F5F5FE" w:val="clear"/>
          </w:tcPr>
          <w:p>
            <w:pPr>
              <w:pStyle w:val="Compact"/>
              <w:widowControl/>
              <w:spacing w:before="36" w:after="120"/>
              <w:jc w:val="start"/>
              <w:rPr>
                <w:rFonts w:eastAsia="" w:cs=""/>
                <w:kern w:val="0"/>
                <w:szCs w:val="24"/>
                <w:lang w:val="fr-FR" w:eastAsia="zh-CN" w:bidi="ar-SA"/>
              </w:rPr>
            </w:pPr>
            <w:hyperlink r:id="rId16">
              <w:r>
                <w:rPr>
                  <w:rStyle w:val="Hyperlink"/>
                  <w:rFonts w:eastAsia="" w:cs=""/>
                  <w:kern w:val="0"/>
                  <w:szCs w:val="24"/>
                  <w:lang w:val="fr-FR" w:eastAsia="zh-CN" w:bidi="ar-SA"/>
                </w:rPr>
                <w:t>Référentiel général d’amélioration de l’accessibilité</w:t>
              </w:r>
            </w:hyperlink>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Références réglementaires et critères d’accessibilité</w:t>
            </w:r>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Accès utile pour illustrer le cadre légal.</w:t>
            </w:r>
          </w:p>
        </w:tc>
      </w:tr>
      <w:tr>
        <w:trPr>
          <w:cantSplit/>
        </w:trPr>
        <w:tc>
          <w:tcPr>
            <w:tcW w:w="3024" w:type="dxa"/>
            <w:tcBorders/>
            <w:shd w:color="auto" w:fill="F5F5FE" w:val="clear"/>
          </w:tcPr>
          <w:p>
            <w:pPr>
              <w:pStyle w:val="Compact"/>
              <w:widowControl/>
              <w:spacing w:before="36" w:after="120"/>
              <w:jc w:val="start"/>
              <w:rPr>
                <w:rFonts w:eastAsia="" w:cs=""/>
                <w:kern w:val="0"/>
                <w:szCs w:val="24"/>
                <w:lang w:val="fr-FR" w:eastAsia="zh-CN" w:bidi="ar-SA"/>
              </w:rPr>
            </w:pPr>
            <w:hyperlink r:id="rId17">
              <w:r>
                <w:rPr>
                  <w:rStyle w:val="Hyperlink"/>
                  <w:rFonts w:eastAsia="" w:cs=""/>
                  <w:kern w:val="0"/>
                  <w:szCs w:val="24"/>
                  <w:lang w:val="fr-FR" w:eastAsia="zh-CN" w:bidi="ar-SA"/>
                </w:rPr>
                <w:t>Simulateur Obligally</w:t>
              </w:r>
            </w:hyperlink>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Démonstration en direct des obligations légales d’accessibilité</w:t>
            </w:r>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Accès utile pendant le module 1 sur le cadre légal.</w:t>
            </w:r>
          </w:p>
        </w:tc>
      </w:tr>
      <w:tr>
        <w:trPr>
          <w:cantSplit/>
        </w:trPr>
        <w:tc>
          <w:tcPr>
            <w:tcW w:w="3024" w:type="dxa"/>
            <w:tcBorders/>
          </w:tcPr>
          <w:p>
            <w:pPr>
              <w:pStyle w:val="Compact"/>
              <w:widowControl/>
              <w:spacing w:before="36" w:after="120"/>
              <w:jc w:val="start"/>
              <w:rPr>
                <w:rFonts w:eastAsia="" w:cs=""/>
                <w:kern w:val="0"/>
                <w:szCs w:val="24"/>
                <w:lang w:val="fr-FR" w:eastAsia="zh-CN" w:bidi="ar-SA"/>
              </w:rPr>
            </w:pPr>
            <w:hyperlink r:id="rId18">
              <w:r>
                <w:rPr>
                  <w:rStyle w:val="Hyperlink"/>
                  <w:rFonts w:eastAsia="" w:cs=""/>
                  <w:kern w:val="0"/>
                  <w:szCs w:val="24"/>
                  <w:lang w:val="fr-FR" w:eastAsia="zh-CN" w:bidi="ar-SA"/>
                </w:rPr>
                <w:t>W3C - Easy Checks</w:t>
              </w:r>
            </w:hyperlink>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Référence des contrôles rapides</w:t>
            </w:r>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Accès utile pour comparer la méthode pédagogique avec la source.</w:t>
            </w:r>
          </w:p>
        </w:tc>
      </w:tr>
      <w:tr>
        <w:trPr>
          <w:cantSplit/>
        </w:trPr>
        <w:tc>
          <w:tcPr>
            <w:tcW w:w="3024" w:type="dxa"/>
            <w:tcBorders/>
            <w:shd w:color="auto" w:fill="F5F5FE" w:val="clear"/>
          </w:tcPr>
          <w:p>
            <w:pPr>
              <w:pStyle w:val="Compact"/>
              <w:widowControl/>
              <w:spacing w:before="36" w:after="120"/>
              <w:jc w:val="start"/>
              <w:rPr>
                <w:rFonts w:eastAsia="" w:cs=""/>
                <w:kern w:val="0"/>
                <w:szCs w:val="24"/>
                <w:lang w:val="fr-FR" w:eastAsia="zh-CN" w:bidi="ar-SA"/>
              </w:rPr>
            </w:pPr>
            <w:hyperlink r:id="rId19">
              <w:r>
                <w:rPr>
                  <w:rStyle w:val="Hyperlink"/>
                  <w:rFonts w:eastAsia="" w:cs=""/>
                  <w:kern w:val="0"/>
                  <w:szCs w:val="24"/>
                  <w:lang w:val="fr-FR" w:eastAsia="zh-CN" w:bidi="ar-SA"/>
                </w:rPr>
                <w:t>Mentor</w:t>
              </w:r>
            </w:hyperlink>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Parcours recommandé en complément</w:t>
            </w:r>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Accès utile avant ou après la session.</w:t>
            </w:r>
          </w:p>
        </w:tc>
      </w:tr>
      <w:tr>
        <w:trPr>
          <w:cantSplit/>
        </w:trPr>
        <w:tc>
          <w:tcPr>
            <w:tcW w:w="3024" w:type="dxa"/>
            <w:tcBorders/>
          </w:tcPr>
          <w:p>
            <w:pPr>
              <w:pStyle w:val="Compact"/>
              <w:widowControl/>
              <w:spacing w:before="36" w:after="120"/>
              <w:jc w:val="start"/>
              <w:rPr>
                <w:rFonts w:eastAsia="" w:cs=""/>
                <w:kern w:val="0"/>
                <w:szCs w:val="24"/>
                <w:lang w:val="fr-FR" w:eastAsia="zh-CN" w:bidi="ar-SA"/>
              </w:rPr>
            </w:pPr>
            <w:hyperlink r:id="rId20">
              <w:r>
                <w:rPr>
                  <w:rStyle w:val="Hyperlink"/>
                  <w:rFonts w:eastAsia="" w:cs=""/>
                  <w:kern w:val="0"/>
                  <w:szCs w:val="24"/>
                  <w:lang w:val="fr-FR" w:eastAsia="zh-CN" w:bidi="ar-SA"/>
                </w:rPr>
                <w:t>Colour Contrast Analyser</w:t>
              </w:r>
            </w:hyperlink>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Contrôle des contrastes</w:t>
            </w:r>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Application Windows portable 3.5.5, à préparer avant la session.</w:t>
            </w:r>
          </w:p>
        </w:tc>
      </w:tr>
      <w:tr>
        <w:trPr>
          <w:cantSplit/>
        </w:trPr>
        <w:tc>
          <w:tcPr>
            <w:tcW w:w="3024" w:type="dxa"/>
            <w:tcBorders/>
            <w:shd w:color="auto" w:fill="F5F5FE" w:val="clear"/>
          </w:tcPr>
          <w:p>
            <w:pPr>
              <w:pStyle w:val="Compact"/>
              <w:widowControl/>
              <w:spacing w:before="36" w:after="120"/>
              <w:jc w:val="start"/>
              <w:rPr>
                <w:rFonts w:eastAsia="" w:cs=""/>
                <w:kern w:val="0"/>
                <w:szCs w:val="24"/>
                <w:lang w:val="fr-FR" w:eastAsia="zh-CN" w:bidi="ar-SA"/>
              </w:rPr>
            </w:pPr>
            <w:hyperlink r:id="rId21">
              <w:r>
                <w:rPr>
                  <w:rStyle w:val="Hyperlink"/>
                  <w:rFonts w:eastAsia="" w:cs=""/>
                  <w:kern w:val="0"/>
                  <w:szCs w:val="24"/>
                  <w:lang w:val="fr-FR" w:eastAsia="zh-CN" w:bidi="ar-SA"/>
                </w:rPr>
                <w:t>Catalogue des extensions Firefox</w:t>
              </w:r>
            </w:hyperlink>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Installation ou vérification des extensions</w:t>
            </w:r>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Installer depuis le catalogue ou les fichiers XPI du pack, selon la politique de la DSI.</w:t>
            </w:r>
          </w:p>
        </w:tc>
      </w:tr>
      <w:tr>
        <w:trPr>
          <w:cantSplit/>
        </w:trPr>
        <w:tc>
          <w:tcPr>
            <w:tcW w:w="3024" w:type="dxa"/>
            <w:tcBorders/>
          </w:tcPr>
          <w:p>
            <w:pPr>
              <w:pStyle w:val="Compact"/>
              <w:widowControl/>
              <w:spacing w:before="36" w:after="120"/>
              <w:jc w:val="start"/>
              <w:rPr>
                <w:rFonts w:eastAsia="" w:cs=""/>
                <w:kern w:val="0"/>
                <w:szCs w:val="24"/>
                <w:lang w:val="fr-FR" w:eastAsia="zh-CN" w:bidi="ar-SA"/>
              </w:rPr>
            </w:pPr>
            <w:hyperlink r:id="rId22">
              <w:r>
                <w:rPr>
                  <w:rStyle w:val="Hyperlink"/>
                  <w:rFonts w:eastAsia="" w:cs=""/>
                  <w:kern w:val="0"/>
                  <w:szCs w:val="24"/>
                  <w:lang w:val="fr-FR" w:eastAsia="zh-CN" w:bidi="ar-SA"/>
                </w:rPr>
                <w:t>Chrome Web Store</w:t>
              </w:r>
            </w:hyperlink>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Installation ou vérification des extensions dans Edge</w:t>
            </w:r>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Edge peut demander l’autorisation des extensions d’un autre magasin ; voir aussi Edge Add-ons et le guide du pack.</w:t>
            </w:r>
          </w:p>
        </w:tc>
      </w:tr>
      <w:tr>
        <w:trPr>
          <w:cantSplit/>
        </w:trPr>
        <w:tc>
          <w:tcPr>
            <w:tcW w:w="3024" w:type="dxa"/>
            <w:tcBorders/>
            <w:shd w:color="auto" w:fill="F5F5FE" w:val="clear"/>
          </w:tcPr>
          <w:p>
            <w:pPr>
              <w:pStyle w:val="Compact"/>
              <w:widowControl/>
              <w:spacing w:before="36" w:after="120"/>
              <w:jc w:val="start"/>
              <w:rPr>
                <w:rFonts w:eastAsia="" w:cs=""/>
                <w:kern w:val="0"/>
                <w:szCs w:val="24"/>
                <w:lang w:val="fr-FR" w:eastAsia="zh-CN" w:bidi="ar-SA"/>
              </w:rPr>
            </w:pPr>
            <w:hyperlink r:id="rId23">
              <w:r>
                <w:rPr>
                  <w:rStyle w:val="Hyperlink"/>
                  <w:rFonts w:eastAsia="" w:cs=""/>
                  <w:kern w:val="0"/>
                  <w:szCs w:val="24"/>
                  <w:lang w:val="fr-FR" w:eastAsia="zh-CN" w:bidi="ar-SA"/>
                </w:rPr>
                <w:t>LinkedIn</w:t>
              </w:r>
            </w:hyperlink>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Séquence réseaux sociaux</w:t>
            </w:r>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Accès public suffisant, compte non obligatoire sauf choix pédagogique.</w:t>
            </w:r>
          </w:p>
        </w:tc>
      </w:tr>
      <w:tr>
        <w:trPr>
          <w:cantSplit/>
        </w:trPr>
        <w:tc>
          <w:tcPr>
            <w:tcW w:w="3024" w:type="dxa"/>
            <w:tcBorders/>
          </w:tcPr>
          <w:p>
            <w:pPr>
              <w:pStyle w:val="Compact"/>
              <w:widowControl/>
              <w:spacing w:before="36" w:after="120"/>
              <w:jc w:val="start"/>
              <w:rPr>
                <w:rFonts w:eastAsia="" w:cs=""/>
                <w:kern w:val="0"/>
                <w:szCs w:val="24"/>
                <w:lang w:val="fr-FR" w:eastAsia="zh-CN" w:bidi="ar-SA"/>
              </w:rPr>
            </w:pPr>
            <w:hyperlink r:id="rId24">
              <w:r>
                <w:rPr>
                  <w:rStyle w:val="Hyperlink"/>
                  <w:rFonts w:eastAsia="" w:cs=""/>
                  <w:kern w:val="0"/>
                  <w:szCs w:val="24"/>
                  <w:lang w:val="fr-FR" w:eastAsia="zh-CN" w:bidi="ar-SA"/>
                </w:rPr>
                <w:t>X</w:t>
              </w:r>
            </w:hyperlink>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Séquence réseaux sociaux</w:t>
            </w:r>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Accès public suffisant, compte non obligatoire sauf choix pédagogique.</w:t>
            </w:r>
          </w:p>
        </w:tc>
      </w:tr>
      <w:tr>
        <w:trPr>
          <w:cantSplit/>
        </w:trPr>
        <w:tc>
          <w:tcPr>
            <w:tcW w:w="3024" w:type="dxa"/>
            <w:tcBorders/>
            <w:shd w:color="auto" w:fill="F5F5FE" w:val="clear"/>
          </w:tcPr>
          <w:p>
            <w:pPr>
              <w:pStyle w:val="Compact"/>
              <w:widowControl/>
              <w:spacing w:before="36" w:after="120"/>
              <w:jc w:val="start"/>
              <w:rPr>
                <w:rFonts w:eastAsia="" w:cs=""/>
                <w:kern w:val="0"/>
                <w:szCs w:val="24"/>
                <w:lang w:val="fr-FR" w:eastAsia="zh-CN" w:bidi="ar-SA"/>
              </w:rPr>
            </w:pPr>
            <w:hyperlink r:id="rId35">
              <w:r>
                <w:rPr>
                  <w:rStyle w:val="Hyperlink"/>
                  <w:rFonts w:eastAsia="" w:cs=""/>
                  <w:kern w:val="0"/>
                  <w:szCs w:val="24"/>
                  <w:lang w:val="fr-FR" w:eastAsia="zh-CN" w:bidi="ar-SA"/>
                </w:rPr>
                <w:t>Atalan - Agissons</w:t>
              </w:r>
            </w:hyperlink>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Simulations de situations de handicap pendant le module 1</w:t>
            </w:r>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Navigation libre des stagiaires pendant 5 minutes. Domaine à autoriser : atalan.fr.</w:t>
            </w:r>
          </w:p>
        </w:tc>
      </w:tr>
      <w:tr>
        <w:trPr>
          <w:cantSplit/>
        </w:trPr>
        <w:tc>
          <w:tcPr>
            <w:tcW w:w="3024" w:type="dxa"/>
            <w:tcBorders/>
          </w:tcPr>
          <w:p>
            <w:pPr>
              <w:pStyle w:val="Compact"/>
              <w:widowControl/>
              <w:spacing w:before="36" w:after="120"/>
              <w:jc w:val="start"/>
              <w:rPr>
                <w:rFonts w:eastAsia="" w:cs=""/>
                <w:kern w:val="0"/>
                <w:szCs w:val="24"/>
                <w:lang w:val="fr-FR" w:eastAsia="zh-CN" w:bidi="ar-SA"/>
              </w:rPr>
            </w:pPr>
            <w:hyperlink r:id="rId36">
              <w:r>
                <w:rPr>
                  <w:rStyle w:val="Hyperlink"/>
                  <w:rFonts w:eastAsia="" w:cs=""/>
                  <w:kern w:val="0"/>
                  <w:szCs w:val="24"/>
                  <w:lang w:val="fr-FR" w:eastAsia="zh-CN" w:bidi="ar-SA"/>
                </w:rPr>
                <w:t>WebAIM</w:t>
              </w:r>
            </w:hyperlink>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Vérificateur de contraste et chiffres WebAIM Million pendant le module web</w:t>
            </w:r>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Outil web de contrôle des contrastes. Domaine à autoriser : webaim.org.</w:t>
            </w:r>
          </w:p>
        </w:tc>
      </w:tr>
      <w:tr>
        <w:trPr>
          <w:cantSplit/>
        </w:trPr>
        <w:tc>
          <w:tcPr>
            <w:tcW w:w="3024" w:type="dxa"/>
            <w:tcBorders/>
            <w:shd w:color="auto" w:fill="F5F5FE" w:val="clear"/>
          </w:tcPr>
          <w:p>
            <w:pPr>
              <w:pStyle w:val="Compact"/>
              <w:widowControl/>
              <w:spacing w:before="36" w:after="120"/>
              <w:jc w:val="start"/>
              <w:rPr>
                <w:rFonts w:eastAsia="" w:cs=""/>
                <w:kern w:val="0"/>
                <w:szCs w:val="24"/>
                <w:lang w:val="fr-FR" w:eastAsia="zh-CN" w:bidi="ar-SA"/>
              </w:rPr>
            </w:pPr>
            <w:hyperlink r:id="rId9">
              <w:r>
                <w:rPr>
                  <w:rStyle w:val="Hyperlink"/>
                  <w:rFonts w:eastAsia="" w:cs=""/>
                  <w:kern w:val="0"/>
                  <w:szCs w:val="24"/>
                  <w:lang w:val="fr-FR" w:eastAsia="zh-CN" w:bidi="ar-SA"/>
                </w:rPr>
                <w:t>Contrast Finder</w:t>
              </w:r>
            </w:hyperlink>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Recherche de couleurs de contraste conformes</w:t>
            </w:r>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Service web, sans installation. Domaine à autoriser : app.contrast-finder.org.</w:t>
            </w:r>
          </w:p>
        </w:tc>
      </w:tr>
      <w:tr>
        <w:trPr>
          <w:cantSplit/>
        </w:trPr>
        <w:tc>
          <w:tcPr>
            <w:tcW w:w="3024" w:type="dxa"/>
            <w:tcBorders/>
          </w:tcPr>
          <w:p>
            <w:pPr>
              <w:pStyle w:val="Compact"/>
              <w:widowControl/>
              <w:spacing w:before="36" w:after="120"/>
              <w:jc w:val="start"/>
              <w:rPr>
                <w:rFonts w:eastAsia="" w:cs=""/>
                <w:kern w:val="0"/>
                <w:szCs w:val="24"/>
                <w:lang w:val="fr-FR" w:eastAsia="zh-CN" w:bidi="ar-SA"/>
              </w:rPr>
            </w:pPr>
            <w:hyperlink r:id="rId8">
              <w:r>
                <w:rPr>
                  <w:rStyle w:val="Hyperlink"/>
                  <w:rFonts w:eastAsia="" w:cs=""/>
                  <w:kern w:val="0"/>
                  <w:szCs w:val="24"/>
                  <w:lang w:val="fr-FR" w:eastAsia="zh-CN" w:bidi="ar-SA"/>
                </w:rPr>
                <w:t>Silktide</w:t>
              </w:r>
            </w:hyperlink>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Test web complémentaire</w:t>
            </w:r>
          </w:p>
        </w:tc>
        <w:tc>
          <w:tcPr>
            <w:tcW w:w="3024" w:type="dxa"/>
            <w:tcBorders/>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Extension Edge à préparer avant la session selon la politique de la DSI ; voir le guide du pack.</w:t>
            </w:r>
          </w:p>
        </w:tc>
      </w:tr>
      <w:tr>
        <w:trPr>
          <w:cantSplit/>
        </w:trPr>
        <w:tc>
          <w:tcPr>
            <w:tcW w:w="3024" w:type="dxa"/>
            <w:tcBorders/>
            <w:shd w:color="auto" w:fill="F5F5FE" w:val="clear"/>
          </w:tcPr>
          <w:p>
            <w:pPr>
              <w:pStyle w:val="Compact"/>
              <w:widowControl/>
              <w:spacing w:before="36" w:after="120"/>
              <w:jc w:val="start"/>
              <w:rPr>
                <w:rFonts w:eastAsia="" w:cs=""/>
                <w:kern w:val="0"/>
                <w:szCs w:val="24"/>
                <w:lang w:val="fr-FR" w:eastAsia="zh-CN" w:bidi="ar-SA"/>
              </w:rPr>
            </w:pPr>
            <w:hyperlink r:id="rId37">
              <w:r>
                <w:rPr>
                  <w:rStyle w:val="Hyperlink"/>
                  <w:rFonts w:eastAsia="" w:cs=""/>
                  <w:kern w:val="0"/>
                  <w:szCs w:val="24"/>
                  <w:lang w:val="fr-FR" w:eastAsia="zh-CN" w:bidi="ar-SA"/>
                </w:rPr>
                <w:t>Checklists Opquast</w:t>
              </w:r>
            </w:hyperlink>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Règle sur les caractères détournés, séquence réseaux sociaux</w:t>
            </w:r>
          </w:p>
        </w:tc>
        <w:tc>
          <w:tcPr>
            <w:tcW w:w="3024" w:type="dxa"/>
            <w:tcBorders/>
            <w:shd w:color="auto" w:fill="F5F5FE" w:val="clear"/>
          </w:tcPr>
          <w:p>
            <w:pPr>
              <w:pStyle w:val="Compact"/>
              <w:widowControl/>
              <w:spacing w:before="36" w:after="120"/>
              <w:jc w:val="start"/>
              <w:rPr>
                <w:rFonts w:eastAsia="" w:cs=""/>
                <w:kern w:val="0"/>
                <w:szCs w:val="24"/>
                <w:lang w:val="fr-FR" w:eastAsia="zh-CN" w:bidi="ar-SA"/>
              </w:rPr>
            </w:pPr>
            <w:r>
              <w:rPr>
                <w:rFonts w:eastAsia="" w:cs=""/>
                <w:kern w:val="0"/>
                <w:szCs w:val="24"/>
                <w:lang w:val="fr-FR" w:eastAsia="zh-CN" w:bidi="ar-SA"/>
              </w:rPr>
              <w:t>Accès utile pour montrer la source de la bonne pratique. Domaine à autoriser : checklists.opquast.com.</w:t>
            </w:r>
          </w:p>
        </w:tc>
      </w:tr>
    </w:tbl>
    <w:p>
      <w:pPr>
        <w:pStyle w:val="Heading2"/>
        <w:rPr/>
      </w:pPr>
      <w:bookmarkEnd w:id="14"/>
      <w:r>
        <w:rPr/>
        <w:t>Préparation avant la session</w:t>
      </w:r>
    </w:p>
    <w:p>
      <w:pPr>
        <w:pStyle w:val="Compact"/>
        <w:numPr>
          <w:ilvl w:val="0"/>
          <w:numId w:val="1"/>
        </w:numPr>
        <w:rPr/>
      </w:pPr>
      <w:r>
        <w:rPr/>
        <w:t>Tester l’ouverture du support officiel et des cinq présentations projetées sur le poste formateur, ainsi que leurs notes.</w:t>
      </w:r>
    </w:p>
    <w:p>
      <w:pPr>
        <w:pStyle w:val="Compact"/>
        <w:numPr>
          <w:ilvl w:val="0"/>
          <w:numId w:val="1"/>
        </w:numPr>
        <w:rPr/>
      </w:pPr>
      <w:r>
        <w:rPr/>
        <w:t>Vérifier que les documents Word de l’exercice s’ouvrent et restent modifiables.</w:t>
      </w:r>
    </w:p>
    <w:p>
      <w:pPr>
        <w:pStyle w:val="Compact"/>
        <w:numPr>
          <w:ilvl w:val="0"/>
          <w:numId w:val="1"/>
        </w:numPr>
        <w:rPr/>
      </w:pPr>
      <w:r>
        <w:rPr/>
        <w:t>Vérifier que la grille au format tableur s’ouvre sur les postes stagiaires.</w:t>
      </w:r>
    </w:p>
    <w:p>
      <w:pPr>
        <w:pStyle w:val="Compact"/>
        <w:numPr>
          <w:ilvl w:val="0"/>
          <w:numId w:val="1"/>
        </w:numPr>
        <w:rPr/>
      </w:pPr>
      <w:r>
        <w:rPr/>
        <w:t>Ouvrir le site Easy Checks depuis un poste stagiaire.</w:t>
      </w:r>
    </w:p>
    <w:p>
      <w:pPr>
        <w:pStyle w:val="Compact"/>
        <w:numPr>
          <w:ilvl w:val="0"/>
          <w:numId w:val="1"/>
        </w:numPr>
        <w:rPr/>
      </w:pPr>
      <w:r>
        <w:rPr/>
        <w:t>Tester CCA portable et les extensions de titres dans Edge et Firefox sur un poste représentatif.</w:t>
      </w:r>
    </w:p>
    <w:p>
      <w:pPr>
        <w:pStyle w:val="Compact"/>
        <w:numPr>
          <w:ilvl w:val="0"/>
          <w:numId w:val="1"/>
        </w:numPr>
        <w:rPr/>
      </w:pPr>
      <w:r>
        <w:rPr/>
        <w:t>Vérifier le son avec un casque audio.</w:t>
      </w:r>
    </w:p>
    <w:p>
      <w:pPr>
        <w:pStyle w:val="Compact"/>
        <w:numPr>
          <w:ilvl w:val="0"/>
          <w:numId w:val="1"/>
        </w:numPr>
        <w:rPr/>
      </w:pPr>
      <w:r>
        <w:rPr/>
        <w:t>Préparer le dossier outils avec make outils-telecharger depuis l’usine, puis contrôler les 29 fichiers avec make outils. Les liens officiels, les versions, les empreintes et les limites d’installation figurent dans outils/LIENS-INSTALLATION.md. Prévoir NVDA 2026.2 en copie portable, CCA portable 3.5.5 et PAC portable 24.4.4.0 sur les postes. Préparer les extensions Firefox et Edge selon la politique de la DSI. Ne diffuser Focus Highlight 6.6 qu’après un essai concluant avec NVDA 2026.2. Acrobat Pro reste une solution de remplacement pour le contrôle PDF.</w:t>
      </w:r>
    </w:p>
    <w:p>
      <w:pPr>
        <w:pStyle w:val="Heading2"/>
        <w:rPr/>
      </w:pPr>
      <w:bookmarkStart w:id="15" w:name="points-dattention"/>
      <w:r>
        <w:rPr/>
        <w:t>Points d’attention</w:t>
      </w:r>
    </w:p>
    <w:p>
      <w:pPr>
        <w:pStyle w:val="Compact"/>
        <w:numPr>
          <w:ilvl w:val="0"/>
          <w:numId w:val="1"/>
        </w:numPr>
        <w:rPr/>
      </w:pPr>
      <w:r>
        <w:rPr/>
        <w:t>Prévoir une solution de secours si les extensions navigateur ne peuvent pas être installées le jour même.</w:t>
      </w:r>
    </w:p>
    <w:p>
      <w:pPr>
        <w:pStyle w:val="Compact"/>
        <w:numPr>
          <w:ilvl w:val="0"/>
          <w:numId w:val="1"/>
        </w:numPr>
        <w:rPr/>
      </w:pPr>
      <w:r>
        <w:rPr/>
        <w:t>Prévoir une copie locale des fichiers d’exercice si le réseau est instable.</w:t>
      </w:r>
    </w:p>
    <w:p>
      <w:pPr>
        <w:pStyle w:val="Compact"/>
        <w:numPr>
          <w:ilvl w:val="0"/>
          <w:numId w:val="1"/>
        </w:numPr>
        <w:rPr/>
      </w:pPr>
      <w:r>
        <w:rPr/>
        <w:t>Autoriser les liens externes nécessaires avant la session, notamment le site Easy Checks, le référentiel accessibilité et les services de test.</w:t>
      </w:r>
    </w:p>
    <w:p>
      <w:pPr>
        <w:pStyle w:val="Compact"/>
        <w:numPr>
          <w:ilvl w:val="0"/>
          <w:numId w:val="1"/>
        </w:numPr>
        <w:spacing w:before="36" w:after="120"/>
        <w:rPr/>
      </w:pPr>
      <w:r>
        <w:rPr/>
        <w:t>Ne pas exiger de compte personnel sur un réseau social pour participer aux exercices.</w:t>
      </w:r>
      <w:bookmarkEnd w:id="0"/>
      <w:bookmarkEnd w:id="15"/>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17" w:right="1417" w:gutter="0" w:header="0" w:top="1600" w:footer="72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Marianne">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666666"/>
        <w:sz w:val="18"/>
      </w:rPr>
      <w:t xml:space="preserve">Fiche équipement IGPDE 102846 - 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5</w:t>
    </w:r>
    <w:r>
      <w:rPr>
        <w:color w:val="666666"/>
        <w:sz w:val="18"/>
      </w:rPr>
      <w:fldChar w:fldCharType="end"/>
    </w:r>
    <w:r>
      <w:rPr>
        <w:color w:val="666666"/>
        <w:sz w:val="18"/>
      </w:rPr>
      <w:t xml:space="preserve"> /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5</w:t>
    </w:r>
    <w:r>
      <w:rPr>
        <w:color w:val="666666"/>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color w:val="666666"/>
        <w:sz w:val="18"/>
      </w:rPr>
      <w:t xml:space="preserve">Fiche équipement IGPDE 102846 - 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5</w:t>
    </w:r>
    <w:r>
      <w:rPr>
        <w:color w:val="666666"/>
        <w:sz w:val="18"/>
      </w:rPr>
      <w:fldChar w:fldCharType="end"/>
    </w:r>
    <w:r>
      <w:rPr>
        <w:color w:val="666666"/>
        <w:sz w:val="18"/>
      </w:rPr>
      <w:t xml:space="preserve"> /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5</w:t>
    </w:r>
    <w:r>
      <w:rPr>
        <w:color w:val="666666"/>
        <w:sz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ind w:hanging="1701"/>
      <w:rPr/>
    </w:pPr>
    <w:r>
      <w:rPr/>
      <w:drawing>
        <wp:inline distT="0" distB="0" distL="0" distR="0">
          <wp:extent cx="7534910" cy="1962150"/>
          <wp:effectExtent l="0" t="0" r="0" b="0"/>
          <wp:docPr id="1" name="Image 6" descr="Logo &quot;République Française&quot; et &quot;IGPDE&quot;, Offre de formation de l'Institut de la gestion publique et du développement écono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Logo &quot;République Française&quot; et &quot;IGPDE&quot;, Offre de formation de l'Institut de la gestion publique et du développement économique."/>
                  <pic:cNvPicPr>
                    <a:picLocks noChangeAspect="1" noChangeArrowheads="1"/>
                  </pic:cNvPicPr>
                </pic:nvPicPr>
                <pic:blipFill>
                  <a:blip r:embed="rId1"/>
                  <a:stretch>
                    <a:fillRect/>
                  </a:stretch>
                </pic:blipFill>
                <pic:spPr bwMode="auto">
                  <a:xfrm>
                    <a:off x="0" y="0"/>
                    <a:ext cx="7534910" cy="19621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ind w:hanging="1701"/>
      <w:rPr/>
    </w:pPr>
    <w:r>
      <w:rPr/>
      <w:drawing>
        <wp:inline distT="0" distB="0" distL="0" distR="0">
          <wp:extent cx="7534910" cy="1962150"/>
          <wp:effectExtent l="0" t="0" r="0" b="0"/>
          <wp:docPr id="2" name="Image 6" descr="Logo &quot;République Française&quot; et &quot;IGPDE&quot;, Offre de formation de l'Institut de la gestion publique et du développement économ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6" descr="Logo &quot;République Française&quot; et &quot;IGPDE&quot;, Offre de formation de l'Institut de la gestion publique et du développement économique."/>
                  <pic:cNvPicPr>
                    <a:picLocks noChangeAspect="1" noChangeArrowheads="1"/>
                  </pic:cNvPicPr>
                </pic:nvPicPr>
                <pic:blipFill>
                  <a:blip r:embed="rId1"/>
                  <a:stretch>
                    <a:fillRect/>
                  </a:stretch>
                </pic:blipFill>
                <pic:spPr bwMode="auto">
                  <a:xfrm>
                    <a:off x="0" y="0"/>
                    <a:ext cx="7534910" cy="19621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9">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0">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6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fr-FR" w:eastAsia="zh-CN"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276" w:before="0" w:after="120"/>
      <w:jc w:val="start"/>
    </w:pPr>
    <w:rPr>
      <w:rFonts w:ascii="Marianne" w:hAnsi="Marianne" w:eastAsia="" w:cs=""/>
      <w:color w:val="1A1A1A"/>
      <w:kern w:val="0"/>
      <w:sz w:val="22"/>
      <w:szCs w:val="24"/>
      <w:lang w:val="fr-FR" w:eastAsia="zh-CN" w:bidi="ar-SA"/>
    </w:rPr>
  </w:style>
  <w:style w:type="paragraph" w:styleId="Heading1">
    <w:name w:val="heading 1"/>
    <w:basedOn w:val="Normal"/>
    <w:next w:val="BodyText"/>
    <w:link w:val="Titre1Car"/>
    <w:uiPriority w:val="9"/>
    <w:qFormat/>
    <w:rsid w:val="00a10fd9"/>
    <w:pPr>
      <w:keepNext w:val="true"/>
      <w:keepLines/>
      <w:pBdr>
        <w:bottom w:val="single" w:sz="12" w:space="4" w:color="000091"/>
      </w:pBdr>
      <w:spacing w:before="360" w:after="80"/>
      <w:outlineLvl w:val="0"/>
    </w:pPr>
    <w:rPr>
      <w:rFonts w:ascii="Aptos Display" w:hAnsi="Aptos Display" w:eastAsia="" w:cs="" w:asciiTheme="majorHAnsi" w:cstheme="majorBidi" w:eastAsiaTheme="majorEastAsia" w:hAnsiTheme="majorHAnsi"/>
      <w:b/>
      <w:color w:val="000091"/>
      <w:sz w:val="36"/>
      <w:szCs w:val="40"/>
    </w:rPr>
  </w:style>
  <w:style w:type="paragraph" w:styleId="Heading2">
    <w:name w:val="heading 2"/>
    <w:basedOn w:val="Normal"/>
    <w:next w:val="BodyText"/>
    <w:link w:val="Titre2C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b/>
      <w:color w:val="000091"/>
      <w:sz w:val="28"/>
      <w:szCs w:val="32"/>
    </w:rPr>
  </w:style>
  <w:style w:type="paragraph" w:styleId="Heading3">
    <w:name w:val="heading 3"/>
    <w:basedOn w:val="Normal"/>
    <w:next w:val="BodyText"/>
    <w:link w:val="Titre3Car"/>
    <w:uiPriority w:val="9"/>
    <w:semiHidden/>
    <w:unhideWhenUsed/>
    <w:qFormat/>
    <w:rsid w:val="00a10fd9"/>
    <w:pPr>
      <w:keepNext w:val="true"/>
      <w:keepLines/>
      <w:spacing w:before="160" w:after="80"/>
      <w:outlineLvl w:val="2"/>
    </w:pPr>
    <w:rPr>
      <w:rFonts w:eastAsia="" w:cs="" w:cstheme="majorBidi" w:eastAsiaTheme="majorEastAsia"/>
      <w:b/>
      <w:color w:val="000091"/>
      <w:sz w:val="24"/>
      <w:szCs w:val="28"/>
    </w:rPr>
  </w:style>
  <w:style w:type="paragraph" w:styleId="Heading4">
    <w:name w:val="heading 4"/>
    <w:basedOn w:val="Normal"/>
    <w:next w:val="BodyText"/>
    <w:link w:val="Titre4Car"/>
    <w:uiPriority w:val="9"/>
    <w:semiHidden/>
    <w:unhideWhenUsed/>
    <w:qFormat/>
    <w:rsid w:val="00a10fd9"/>
    <w:pPr>
      <w:keepNext w:val="true"/>
      <w:keepLines/>
      <w:spacing w:before="80" w:after="40"/>
      <w:outlineLvl w:val="3"/>
    </w:pPr>
    <w:rPr>
      <w:rFonts w:eastAsia="" w:cs="" w:cstheme="majorBidi" w:eastAsiaTheme="majorEastAsia"/>
      <w:b/>
      <w:i/>
      <w:iCs/>
      <w:color w:val="000091"/>
    </w:rPr>
  </w:style>
  <w:style w:type="paragraph" w:styleId="Heading5">
    <w:name w:val="heading 5"/>
    <w:basedOn w:val="Normal"/>
    <w:next w:val="BodyText"/>
    <w:link w:val="Titre5Car"/>
    <w:uiPriority w:val="9"/>
    <w:semiHidden/>
    <w:unhideWhenUsed/>
    <w:qFormat/>
    <w:rsid w:val="00a10fd9"/>
    <w:pPr>
      <w:keepNext w:val="true"/>
      <w:keepLines/>
      <w:spacing w:before="80" w:after="40"/>
      <w:outlineLvl w:val="4"/>
    </w:pPr>
    <w:rPr>
      <w:rFonts w:eastAsia="" w:cs="" w:cstheme="majorBidi" w:eastAsiaTheme="majorEastAsia"/>
      <w:b/>
      <w:color w:val="000091"/>
      <w:sz w:val="20"/>
    </w:rPr>
  </w:style>
  <w:style w:type="paragraph" w:styleId="Heading6">
    <w:name w:val="heading 6"/>
    <w:basedOn w:val="Normal"/>
    <w:next w:val="BodyText"/>
    <w:link w:val="Titre6Car"/>
    <w:uiPriority w:val="9"/>
    <w:semiHidden/>
    <w:unhideWhenUsed/>
    <w:qFormat/>
    <w:rsid w:val="00a10fd9"/>
    <w:pPr>
      <w:keepNext w:val="true"/>
      <w:keepLines/>
      <w:spacing w:before="40" w:after="0"/>
      <w:outlineLvl w:val="5"/>
    </w:pPr>
    <w:rPr>
      <w:rFonts w:eastAsia="" w:cs="" w:cstheme="majorBidi" w:eastAsiaTheme="majorEastAsia"/>
      <w:i/>
      <w:iCs/>
      <w:color w:val="000091"/>
      <w:sz w:val="20"/>
    </w:rPr>
  </w:style>
  <w:style w:type="paragraph" w:styleId="Heading7">
    <w:name w:val="heading 7"/>
    <w:basedOn w:val="Normal"/>
    <w:next w:val="BodyText"/>
    <w:link w:val="Titre7C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Titre8C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Titre9C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Car" w:customStyle="1">
    <w:name w:val="Titre C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ous-titreCar" w:customStyle="1">
    <w:name w:val="Sous-titre C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Titre1Car" w:customStyle="1">
    <w:name w:val="Titre 1 C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a10fd9"/>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a10fd9"/>
    <w:rPr>
      <w:rFonts w:eastAsia="" w:cs="" w:cstheme="majorBidi" w:eastAsiaTheme="majorEastAsia"/>
      <w:color w:themeColor="text1" w:themeTint="d8" w:val="272727"/>
    </w:rPr>
  </w:style>
  <w:style w:type="character" w:styleId="LgendeCar" w:customStyle="1">
    <w:name w:val="Légende Car"/>
    <w:basedOn w:val="DefaultParagraphFont"/>
    <w:link w:val="Caption"/>
    <w:qFormat/>
    <w:rPr/>
  </w:style>
  <w:style w:type="character" w:styleId="VerbatimChar" w:customStyle="1">
    <w:name w:val="Verbatim Char"/>
    <w:basedOn w:val="LgendeCar"/>
    <w:link w:val="SourceCode"/>
    <w:qFormat/>
    <w:rPr>
      <w:rFonts w:ascii="Consolas" w:hAnsi="Consolas"/>
      <w:sz w:val="22"/>
    </w:rPr>
  </w:style>
  <w:style w:type="character" w:styleId="SectionNumber" w:customStyle="1">
    <w:name w:val="Section Number"/>
    <w:basedOn w:val="LgendeCar"/>
    <w:qFormat/>
    <w:rPr/>
  </w:style>
  <w:style w:type="character" w:styleId="FootnoteCharacters">
    <w:name w:val="Footnote Characters"/>
    <w:basedOn w:val="LgendeCar"/>
    <w:qFormat/>
    <w:rPr>
      <w:vertAlign w:val="superscript"/>
    </w:rPr>
  </w:style>
  <w:style w:type="character" w:styleId="FootnoteReference">
    <w:name w:val="footnote reference"/>
    <w:rPr>
      <w:vertAlign w:val="superscript"/>
    </w:rPr>
  </w:style>
  <w:style w:type="character" w:styleId="Hyperlink">
    <w:name w:val="Hyperlink"/>
    <w:basedOn w:val="LgendeCar"/>
    <w:rPr>
      <w:color w:themeColor="accent1" w:val="156082"/>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qFormat/>
    <w:pPr>
      <w:spacing w:before="180" w:after="120"/>
    </w:pPr>
    <w:rPr/>
  </w:style>
  <w:style w:type="paragraph" w:styleId="List">
    <w:name w:val="List"/>
    <w:basedOn w:val="BodyText"/>
    <w:pPr/>
    <w:rPr>
      <w:rFonts w:cs="Arial Unicode MS"/>
    </w:rPr>
  </w:style>
  <w:style w:type="paragraph" w:styleId="Caption">
    <w:name w:val="caption"/>
    <w:basedOn w:val="Normal"/>
    <w:link w:val="LgendeCar"/>
    <w:qFormat/>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120"/>
    </w:pPr>
    <w:rPr/>
  </w:style>
  <w:style w:type="paragraph" w:styleId="Title">
    <w:name w:val="Title"/>
    <w:basedOn w:val="Normal"/>
    <w:next w:val="BodyText"/>
    <w:link w:val="TitreC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b/>
      <w:color w:val="000091"/>
      <w:sz w:val="48"/>
      <w:szCs w:val="56"/>
    </w:rPr>
  </w:style>
  <w:style w:type="paragraph" w:styleId="Subtitle">
    <w:name w:val="Subtitle"/>
    <w:basedOn w:val="Title"/>
    <w:next w:val="BodyText"/>
    <w:link w:val="Sous-titreCar"/>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z w:val="32"/>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pgi.com/color-contrast-checker/" TargetMode="External"/><Relationship Id="rId3" Type="http://schemas.openxmlformats.org/officeDocument/2006/relationships/hyperlink" Target="https://www.nvda.fr/a21" TargetMode="External"/><Relationship Id="rId4" Type="http://schemas.openxmlformats.org/officeDocument/2006/relationships/hyperlink" Target="https://github.com/nvdajp/focusHighlight" TargetMode="External"/><Relationship Id="rId5" Type="http://schemas.openxmlformats.org/officeDocument/2006/relationships/hyperlink" Target="https://addons.mozilla.org/fr/firefox/addon/web-developer/" TargetMode="External"/><Relationship Id="rId6" Type="http://schemas.openxmlformats.org/officeDocument/2006/relationships/hyperlink" Target="https://addons.mozilla.org/fr/firefox/addon/headingsmap/" TargetMode="External"/><Relationship Id="rId7" Type="http://schemas.openxmlformats.org/officeDocument/2006/relationships/hyperlink" Target="https://addons.mozilla.org/fr/firefox/addon/styl-us/" TargetMode="External"/><Relationship Id="rId8" Type="http://schemas.openxmlformats.org/officeDocument/2006/relationships/hyperlink" Target="https://silktide.com/" TargetMode="External"/><Relationship Id="rId9" Type="http://schemas.openxmlformats.org/officeDocument/2006/relationships/hyperlink" Target="https://app.contrast-finder.org/" TargetMode="External"/><Relationship Id="rId10" Type="http://schemas.openxmlformats.org/officeDocument/2006/relationships/hyperlink" Target="https://alexandra-guiderdoni.github.io/tp-fabrication-igpde-102846-ay11/" TargetMode="External"/><Relationship Id="rId11" Type="http://schemas.openxmlformats.org/officeDocument/2006/relationships/hyperlink" Target="https://alexandra-guiderdoni.github.io/tp-fabrication-igpde-102846-ay11/demo-mauvaise-restitution-emojis.html" TargetMode="External"/><Relationship Id="rId12" Type="http://schemas.openxmlformats.org/officeDocument/2006/relationships/hyperlink" Target="https://alexandra-guiderdoni.github.io/tp-fabrication-igpde-102846-ay11/" TargetMode="External"/><Relationship Id="rId13" Type="http://schemas.openxmlformats.org/officeDocument/2006/relationships/hyperlink" Target="https://alexandra-guiderdoni.github.io/tp-fabrication-igpde-102846-ay11/demo-mauvaise-restitution-emojis.html" TargetMode="External"/><Relationship Id="rId14" Type="http://schemas.openxmlformats.org/officeDocument/2006/relationships/hyperlink" Target="https://alexandra-guiderdoni.github.io/tp-fabrication-igpde-102846-ay11/" TargetMode="External"/><Relationship Id="rId15" Type="http://schemas.openxmlformats.org/officeDocument/2006/relationships/hyperlink" Target="https://alexandra-guiderdoni.github.io/tp-fabrication-igpde-102846-ay11/demo-mauvaise-restitution-emojis.html" TargetMode="External"/><Relationship Id="rId16" Type="http://schemas.openxmlformats.org/officeDocument/2006/relationships/hyperlink" Target="https://accessibilite.numerique.gouv.fr/" TargetMode="External"/><Relationship Id="rId17" Type="http://schemas.openxmlformats.org/officeDocument/2006/relationships/hyperlink" Target="https://obligations-legales-accessibilite-numerique.fr/fr/simulation/" TargetMode="External"/><Relationship Id="rId18" Type="http://schemas.openxmlformats.org/officeDocument/2006/relationships/hyperlink" Target="https://www.w3.org/WAI/test-evaluate/preliminary/" TargetMode="External"/><Relationship Id="rId19" Type="http://schemas.openxmlformats.org/officeDocument/2006/relationships/hyperlink" Target="https://mentor.gouv.fr/course/view.php?id=867&amp;section=1" TargetMode="External"/><Relationship Id="rId20" Type="http://schemas.openxmlformats.org/officeDocument/2006/relationships/hyperlink" Target="https://www.tpgi.com/color-contrast-checker/" TargetMode="External"/><Relationship Id="rId21" Type="http://schemas.openxmlformats.org/officeDocument/2006/relationships/hyperlink" Target="https://addons.mozilla.org/fr/firefox/" TargetMode="External"/><Relationship Id="rId22" Type="http://schemas.openxmlformats.org/officeDocument/2006/relationships/hyperlink" Target="https://chromewebstore.google.com/" TargetMode="External"/><Relationship Id="rId23" Type="http://schemas.openxmlformats.org/officeDocument/2006/relationships/hyperlink" Target="https://www.linkedin.com/" TargetMode="External"/><Relationship Id="rId24" Type="http://schemas.openxmlformats.org/officeDocument/2006/relationships/hyperlink" Target="https://x.com/"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hyperlink" Target="https://atalan.fr/agissons/fr/index.html" TargetMode="External"/><Relationship Id="rId36" Type="http://schemas.openxmlformats.org/officeDocument/2006/relationships/hyperlink" Target="https://webaim.org/resources/contrastchecker/" TargetMode="External"/><Relationship Id="rId37" Type="http://schemas.openxmlformats.org/officeDocument/2006/relationships/hyperlink" Target="https://checklists.opquast.com/fr/qualite-numeriqu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LibreOffice/26.2.4.2$MacOSX_AARCH64 LibreOffice_project/0229ac93fcf0d7cbc6376066c6f35021cef002dc</Application>
  <AppVersion>15.0000</AppVersion>
  <Pages>5</Pages>
  <Words>1065</Words>
  <Characters>5859</Characters>
  <CharactersWithSpaces>6911</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2026-05-15T21:29:00Z</dcterms:created>
  <dc:creator>IGPDE</dc:creator>
  <dc:description/>
  <cp:keywords>IGPDE 102846 équipement informatique accessibilité numérique salle de cours Easy Checks Word réseaux sociaux</cp:keywords>
  <dc:language>fr-FR</dc:language>
  <cp:lastModifiedBy>alex</cp:lastModifiedBy>
  <dcterms:modified xsi:type="dcterms:W3CDTF">2026-05-15T21:33:00Z</dcterms:modified>
  <cp:revision>2</cp:revision>
  <dc:subject>Formation IGPDE 102846</dc:subject>
  <dc:title>Fiche équipement informatique - Salle de cours</dc:title>
</cp:coreProperties>
</file>

<file path=docProps/custom.xml><?xml version="1.0" encoding="utf-8"?>
<Properties xmlns="http://schemas.openxmlformats.org/officeDocument/2006/custom-properties" xmlns:vt="http://schemas.openxmlformats.org/officeDocument/2006/docPropsVTypes"/>
</file>