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Détail par canal .............. 3</w:t>
      </w:r>
    </w:p>
    <w:p>
      <w:r>
        <w:t>Organisation du service .............. 4</w:t>
      </w:r>
    </w:p>
    <w:p>
      <w:r>
        <w:t>Contact .............. 5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/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t>The quarterly report is available upon request. Please contact the communication department for further details.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rPr>
                <w:rFonts w:ascii="Arial" w:hAnsi="Arial"/>
                <w:b/>
                <w:sz w:val="20"/>
              </w:rPr>
              <w:t>Direction des affaires juridiques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/>
    <w:p>
      <w:pPr>
        <w:pStyle w:val="Heading2"/>
      </w:pPr>
      <w:r>
        <w:t>ANNEXES</w:t>
      </w:r>
    </w:p>
    <w:p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