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2"/>
        </w:rPr>
        <w:t>Document confidentiel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/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/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rattache directement a la direction.</w:t>
      </w:r>
    </w:p>
    <w:p/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/>
    <w:p>
      <w:pPr>
        <w:pStyle w:val="Heading2"/>
      </w:pPr>
      <w:r>
        <w:rPr>
          <w:caps/>
        </w:rPr>
        <w:t>Annexes</w:t>
      </w:r>
    </w:p>
    <w:p>
      <w:r>
        <w:rPr>
          <w:color w:val="0000FF"/>
          <w:u w:val="single"/>
        </w:rPr>
        <w:t>Consulter les annexes du rapport T1 2025 (PDF, 1,2 Mo)</w:t>
      </w:r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– Bilan T1 2025</dc:title>
  <dc:subject>Bilan communication numérique T1 2025</dc:subject>
  <dc:creator>Sami Dupont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