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80"/>
        <w:jc w:val="center"/>
      </w:pPr>
      <w:r>
        <w:rPr>
          <w:rFonts w:ascii="Times New Roman" w:cs="Times New Roman" w:eastAsia="Times New Roman" w:hAnsi="Times New Roman"/>
          <w:b/>
          <w:bCs/>
          <w:sz w:val="28"/>
          <w:szCs w:val="28"/>
        </w:rPr>
        <w:t xml:space="preserve">3. Studiu Bibliografic</w:t>
      </w:r>
    </w:p>
    <w:p>
      <w:pPr>
        <w:spacing w:after="200" w:before="0" w:line="360" w:lineRule="auto"/>
        <w:ind w:firstLine="709"/>
        <w:jc w:val="both"/>
      </w:pPr>
      <w:r>
        <w:rPr>
          <w:rFonts w:ascii="Times New Roman" w:cs="Times New Roman" w:eastAsia="Times New Roman" w:hAnsi="Times New Roman"/>
          <w:sz w:val="24"/>
          <w:szCs w:val="24"/>
        </w:rPr>
        <w:t xml:space="preserve">Intr-un supermarket fizic, un consumator poate compara pretul a doua produse in cateva secunde. In mediul digital, acelasi lucru presupune navigarea pe sapte site-uri diferite, fiecare cu propriul format, propria nomenclatura si propriile promotii temporare. Automatizarea acestui proces - colectarea, curatarea si normalizarea datelor de produs din surse heterogene - reprezinta o problema activa de cercetare, la intersectia dintre extractia de informatii, procesarea limbajului natural si analiza documentelor. Prezentul capitol trece in revista solutiile propuse in literatura recenta, cu accent pe tehnicile direct relevante pentru arhitectura sistemului SmartPrice: extractia atributelor de produs cu modele de limbaj mari, normalizarea denumirilor comerciale si analiza documentelor vizual-bogate.</w:t>
      </w:r>
    </w:p>
    <w:p>
      <w:pPr>
        <w:spacing w:after="120" w:before="0"/>
      </w:pPr>
      <w:r>
        <w:t xml:space="preserve"/>
      </w:r>
    </w:p>
    <w:p>
      <w:pPr>
        <w:spacing w:after="160" w:before="320"/>
        <w:jc w:val="left"/>
      </w:pPr>
      <w:r>
        <w:rPr>
          <w:rFonts w:ascii="Times New Roman" w:cs="Times New Roman" w:eastAsia="Times New Roman" w:hAnsi="Times New Roman"/>
          <w:b/>
          <w:bCs/>
          <w:sz w:val="24"/>
          <w:szCs w:val="24"/>
        </w:rPr>
        <w:t xml:space="preserve">3.1 Extractia atributelor de produs cu modele de limbaj mari</w:t>
      </w:r>
    </w:p>
    <w:p>
      <w:pPr>
        <w:spacing w:after="200" w:before="0" w:line="360" w:lineRule="auto"/>
        <w:ind w:firstLine="709"/>
        <w:jc w:val="both"/>
      </w:pPr>
      <w:r>
        <w:rPr>
          <w:rFonts w:ascii="Times New Roman" w:cs="Times New Roman" w:eastAsia="Times New Roman" w:hAnsi="Times New Roman"/>
          <w:sz w:val="24"/>
          <w:szCs w:val="24"/>
        </w:rPr>
        <w:t xml:space="preserve">O prima directie de cercetare vizeaza extragerea automata a atributelor produselor din text comercial nestructurat. Brinkmann et al. demonstreaza in [1] ca modelele GPT, folosite in regim few-shot, pot extrage brand, categorie si gramaj fara antrenare specifica domeniului - rezultatele competitive fata de modelele specializate sugerand ca LLM-urile generice au absorbit suficiente cunostinte despre retail din datele de preantrenare. Metoda propusa, numita ExtractGPT, formuleaza sarcina de extractie ca un dialog structurat cu modelul, furnizand exemple reprezentative in prompt si solicitand raspunsuri in format JSON. Avantajul principal este versatilitatea: nu necesita date etichetate si poate fi aplicat imediat intr-un domeniu nou. Dezavantajul este costul apelurilor la API-uri comerciale si inconsistenta ocazionala pentru descrieri ambigue.</w:t>
      </w:r>
    </w:p>
    <w:p>
      <w:pPr>
        <w:spacing w:after="200" w:before="0" w:line="360" w:lineRule="auto"/>
        <w:ind w:firstLine="709"/>
        <w:jc w:val="both"/>
      </w:pPr>
      <w:r>
        <w:rPr>
          <w:rFonts w:ascii="Times New Roman" w:cs="Times New Roman" w:eastAsia="Times New Roman" w:hAnsi="Times New Roman"/>
          <w:sz w:val="24"/>
          <w:szCs w:val="24"/>
        </w:rPr>
        <w:t xml:space="preserve">Pentru a permite evaluarea comparativa a unor astfel de abordari, aceiasi autori propun in [2] un benchmark standardizat - Product Attribute Value Dataset (PAVD) - care formalizeaza exact tipul de sarcini pe care il rezolva SmartPrice: extragerea numelui curat, brandului si categoriei din denumiri brute de produs. PAVD ofera un protocol de evaluare reproductibil si faciliteaza compararea obiectiva a diferitelor solutii LLM. Limita sa este ca produsele provin predominant din piete vest-europene si americane, putand sa nu surprinda particularitati ale nomenclaturii din retail-ul romanesc.</w:t>
      </w:r>
    </w:p>
    <w:p>
      <w:pPr>
        <w:spacing w:after="200" w:before="0" w:line="360" w:lineRule="auto"/>
        <w:ind w:firstLine="709"/>
        <w:jc w:val="both"/>
      </w:pPr>
      <w:r>
        <w:rPr>
          <w:rFonts w:ascii="Times New Roman" w:cs="Times New Roman" w:eastAsia="Times New Roman" w:hAnsi="Times New Roman"/>
          <w:sz w:val="24"/>
          <w:szCs w:val="24"/>
        </w:rPr>
        <w:t xml:space="preserve">Daca [1] si [2] lucreaza cu modele comerciale costisitoare, Zhou et al. [3] demonstreaza ca o alternativa open-source - Llama 2 - poate atinge performante similare la o fractie din cost, deschizand calea pentru solutii rulabile local. Autorii antreneaza si evalueaza variante de 7B si 13B parametri pe sarcini de adnotare structurata, confirmat ca modelele de dimensiuni medii sunt competitive cu modele comerciale mai mari. Aceasta concluzie justifica direct alegerea arhitecturala adoptata in SmartPrice: utilizarea Llama 3.2:3b via Ollama, rulat local, fara dependente externe si cu confidentialitatea datelor garantata. Dezavantajul ramane necesitatea unor resurse hardware dedicate si performanta usor inferioara pe categorii subreprezentate in datele de antrenament.</w:t>
      </w:r>
    </w:p>
    <w:p>
      <w:pPr>
        <w:spacing w:after="120" w:before="0"/>
      </w:pPr>
      <w:r>
        <w:t xml:space="preserve"/>
      </w:r>
    </w:p>
    <w:p>
      <w:pPr>
        <w:spacing w:after="160" w:before="320"/>
        <w:jc w:val="left"/>
      </w:pPr>
      <w:r>
        <w:rPr>
          <w:rFonts w:ascii="Times New Roman" w:cs="Times New Roman" w:eastAsia="Times New Roman" w:hAnsi="Times New Roman"/>
          <w:b/>
          <w:bCs/>
          <w:sz w:val="24"/>
          <w:szCs w:val="24"/>
        </w:rPr>
        <w:t xml:space="preserve">3.2 Alegerea modelului si tehnicile de prompting pentru extragerea informatiilor</w:t>
      </w:r>
    </w:p>
    <w:p>
      <w:pPr>
        <w:spacing w:after="200" w:before="0" w:line="360" w:lineRule="auto"/>
        <w:ind w:firstLine="709"/>
        <w:jc w:val="both"/>
      </w:pPr>
      <w:r>
        <w:rPr>
          <w:rFonts w:ascii="Times New Roman" w:cs="Times New Roman" w:eastAsia="Times New Roman" w:hAnsi="Times New Roman"/>
          <w:sz w:val="24"/>
          <w:szCs w:val="24"/>
        </w:rPr>
        <w:t xml:space="preserve">Odata stabilit ca LLM-urile open-source sunt viabile, intrebarea devine: care model si ce tehnica de prompting? Srinivas et al. [4] ofera un raspuns empiric, comparand sistematic ChatGPT, Gemini si Llama-2 pe sarcini NLP diverse - clasificare, extractie de entitati, generare de raspunsuri - si identificand profiluri de performanta distincte in functie de tipul sarcinii. Studiul furnizeaza ghiduri practice pentru selectia modelului in functie de cerintele aplicatiei, avand implicatii directe asupra deciziei de a folosi Llama in SmartPrice. Dezavantajul acestui tip de analiza este ca rezultatele se invechesc rapid odata cu aparitia versiunilor noi ale modelelor comparate.</w:t>
      </w:r>
    </w:p>
    <w:p>
      <w:pPr>
        <w:spacing w:after="200" w:before="0" w:line="360" w:lineRule="auto"/>
        <w:ind w:firstLine="709"/>
        <w:jc w:val="both"/>
      </w:pPr>
      <w:r>
        <w:rPr>
          <w:rFonts w:ascii="Times New Roman" w:cs="Times New Roman" w:eastAsia="Times New Roman" w:hAnsi="Times New Roman"/>
          <w:sz w:val="24"/>
          <w:szCs w:val="24"/>
        </w:rPr>
        <w:t xml:space="preserve">Dincolo de produse din comertul electronic, extragerea de informatii din documente cu structura variabila este o provocare mai larga. Ha si Horak [5] abordeaza aceasta problema in contextul facturilor financiare, combinand OCR cu modele transformatoare fine-tuned si exploatand atat continutul textual cat si structura spatiala a documentului. Metoda este robusta fata de varietatea formatelor, insa dependenta de calitatea OCR ramane o limitare critica - erori de recunoastere se propaga inevitabil in rezultatele extractiei. Aceasta observatie este direct relevanta pentru SmartPrice, care a explorat extractia din cataloage PDF scanate ale supermarketurilor, confruntandu-se cu aceleasi dificultati.</w:t>
      </w:r>
    </w:p>
    <w:p>
      <w:pPr>
        <w:spacing w:after="200" w:before="0" w:line="360" w:lineRule="auto"/>
        <w:ind w:firstLine="709"/>
        <w:jc w:val="both"/>
      </w:pPr>
      <w:r>
        <w:rPr>
          <w:rFonts w:ascii="Times New Roman" w:cs="Times New Roman" w:eastAsia="Times New Roman" w:hAnsi="Times New Roman"/>
          <w:sz w:val="24"/>
          <w:szCs w:val="24"/>
        </w:rPr>
        <w:t xml:space="preserve">Rombach si Fettke [6] extind aceasta perspectiva la documente de afaceri nestructurate - contracte, rapoarte, oferte comerciale - propunand chain-of-thought prompting pentru a reduce rata de omisiuni si halucinatii fata de prompting-ul simplu. Tehnica ghideaza modelul sa rationeze pas-cu-pas inainte de a formula raspunsul final, imbunatatind precizia extractiei. Principiile acestei abordari se regasesc si in constructia prompt-urilor din reparator.py, unde instructiunile explicite si exemplele few-shot ghideaza Llama 3.2 in extragerea structurata a campurilor de produs. Dezavantajul este ca pentru documente foarte lungi, modelele pot pierde informatii din sectiunile indepartate ale contextului.</w:t>
      </w:r>
    </w:p>
    <w:p>
      <w:pPr>
        <w:spacing w:after="120" w:before="0"/>
      </w:pPr>
      <w:r>
        <w:t xml:space="preserve"/>
      </w:r>
    </w:p>
    <w:p>
      <w:pPr>
        <w:spacing w:after="160" w:before="320"/>
        <w:jc w:val="left"/>
      </w:pPr>
      <w:r>
        <w:rPr>
          <w:rFonts w:ascii="Times New Roman" w:cs="Times New Roman" w:eastAsia="Times New Roman" w:hAnsi="Times New Roman"/>
          <w:b/>
          <w:bCs/>
          <w:sz w:val="24"/>
          <w:szCs w:val="24"/>
        </w:rPr>
        <w:t xml:space="preserve">3.3 Documente vizual-bogate si potrivirea entitatilor de produs</w:t>
      </w:r>
    </w:p>
    <w:p>
      <w:pPr>
        <w:spacing w:after="200" w:before="0" w:line="360" w:lineRule="auto"/>
        <w:ind w:firstLine="709"/>
        <w:jc w:val="both"/>
      </w:pPr>
      <w:r>
        <w:rPr>
          <w:rFonts w:ascii="Times New Roman" w:cs="Times New Roman" w:eastAsia="Times New Roman" w:hAnsi="Times New Roman"/>
          <w:sz w:val="24"/>
          <w:szCs w:val="24"/>
        </w:rPr>
        <w:t xml:space="preserve">O categorie aparte o reprezinta documentele in care dispunerea spatiala a continutului transporta informatie semantica suplimentara fata de textul brut - cataloagele PDF ale supermarketurilor fiind un exemplu reprezentativ. Gbada et al. [7] cartografiaza sistematic metodele de deep learning pentru astfel de documente vizual-bogate (Visually Rich Documents - VRD), de la LayoutLM la arhitecturi multimodale, oferind o taxonomie a abordarilor dupa modalitatea utilizata: textuala, vizuala, spatiala sau combinata. Recenzia include benchmark-uri standard si criterii de selectie a arhitecturii, utile oricarui proiect nou in domeniu. Dezavantajul inerent al unei recenzii este viteza de invechire: unele arhitecturi prezentate pot fi deja depasite de modele aparute ulterior publicarii.</w:t>
      </w:r>
    </w:p>
    <w:p>
      <w:pPr>
        <w:spacing w:after="200" w:before="0" w:line="360" w:lineRule="auto"/>
        <w:ind w:firstLine="709"/>
        <w:jc w:val="both"/>
      </w:pPr>
      <w:r>
        <w:rPr>
          <w:rFonts w:ascii="Times New Roman" w:cs="Times New Roman" w:eastAsia="Times New Roman" w:hAnsi="Times New Roman"/>
          <w:sz w:val="24"/>
          <w:szCs w:val="24"/>
        </w:rPr>
        <w:t xml:space="preserve">La un nivel superior de abstractizare, problema identificarii aceluiasi produs la retaileri diferiti - numita entity matching - este abordata de Huo et al. [8] prin construirea Retail-786k, un dataset de 786.000 de imagini de produse adnotate manual. Autorii demonstreaza ca textul singur este insuficient pentru rezolvarea robusta a acestei probleme si ca trasaturile vizuale extrase din imagini aduc informatie complementara esentiala. Relevanta pentru SmartPrice este directa: sistemul rezolva zilnic problema echivalentei semantice intre denumiri diferite ale aceluiasi produs, provenite de la sapte lanturi de retail. Desi SmartPrice opereaza predominant pe date textuale, concluziile articolului [8] traseaza o directie naturala de extindere a sistemului prin incorporarea de trasaturi vizuale. Avantajul principal al Retail-786k este amploarea si calitatea adnotarilor; dezavantajul este ca provine din piata asiatica, cu posibile limitari de generalizare pentru produsele din Romania.</w:t>
      </w:r>
    </w:p>
    <w:p>
      <w:pPr>
        <w:spacing w:after="120" w:before="0"/>
      </w:pPr>
      <w:r>
        <w:t xml:space="preserve"/>
      </w:r>
    </w:p>
    <w:p>
      <w:pPr>
        <w:spacing w:after="120" w:before="0"/>
      </w:pPr>
      <w:r>
        <w:t xml:space="preserve"/>
      </w:r>
    </w:p>
    <w:p>
      <w:pPr>
        <w:spacing w:after="280" w:before="280"/>
        <w:jc w:val="center"/>
      </w:pPr>
      <w:r>
        <w:rPr>
          <w:rFonts w:ascii="Times New Roman" w:cs="Times New Roman" w:eastAsia="Times New Roman" w:hAnsi="Times New Roman"/>
          <w:b/>
          <w:bCs/>
          <w:sz w:val="28"/>
          <w:szCs w:val="28"/>
        </w:rPr>
        <w:t xml:space="preserve">Bibliografie</w:t>
      </w:r>
    </w:p>
    <w:p>
      <w:pPr>
        <w:spacing w:after="100" w:before="0" w:line="276" w:lineRule="auto"/>
        <w:ind w:left="360" w:hanging="360"/>
        <w:jc w:val="both"/>
      </w:pPr>
      <w:r>
        <w:rPr>
          <w:rFonts w:ascii="Times New Roman" w:cs="Times New Roman" w:eastAsia="Times New Roman" w:hAnsi="Times New Roman"/>
          <w:sz w:val="24"/>
          <w:szCs w:val="24"/>
        </w:rPr>
        <w:t xml:space="preserve">[1] R. Brinkmann, C. Shraga, and C. Bizer, "ExtractGPT: Exploring the Potential of Large Language Models for Product Attribute Value Extraction," arXiv preprint arXiv:2310.12537, 2023. [Online]. Available: https://arxiv.org/abs/2310.12537. [Accessed: May 15, 2026].</w:t>
      </w:r>
    </w:p>
    <w:p>
      <w:pPr>
        <w:spacing w:after="100" w:before="0" w:line="276" w:lineRule="auto"/>
        <w:ind w:left="360" w:hanging="360"/>
        <w:jc w:val="both"/>
      </w:pPr>
      <w:r>
        <w:rPr>
          <w:rFonts w:ascii="Times New Roman" w:cs="Times New Roman" w:eastAsia="Times New Roman" w:hAnsi="Times New Roman"/>
          <w:sz w:val="24"/>
          <w:szCs w:val="24"/>
        </w:rPr>
        <w:t xml:space="preserve">[2] R. Brinkmann, C. Shraga, and C. Bizer, "Product Attribute Value Dataset (PAVD)," GitHub, 2024. [Online]. Available: https://github.com/wbsg-uni-mannheim/PAVD. [Accessed: May 15, 2026].</w:t>
      </w:r>
    </w:p>
    <w:p>
      <w:pPr>
        <w:spacing w:after="100" w:before="0" w:line="276" w:lineRule="auto"/>
        <w:ind w:left="360" w:hanging="360"/>
        <w:jc w:val="both"/>
      </w:pPr>
      <w:r>
        <w:rPr>
          <w:rFonts w:ascii="Times New Roman" w:cs="Times New Roman" w:eastAsia="Times New Roman" w:hAnsi="Times New Roman"/>
          <w:sz w:val="24"/>
          <w:szCs w:val="24"/>
        </w:rPr>
        <w:t xml:space="preserve">[3] Z. Zhou et al., "Utilizing Large Language Models for Product Attribute Annotation: A Study with Llama 2," arXiv preprint, 2023.</w:t>
      </w:r>
    </w:p>
    <w:p>
      <w:pPr>
        <w:spacing w:after="100" w:before="0" w:line="276" w:lineRule="auto"/>
        <w:ind w:left="360" w:hanging="360"/>
        <w:jc w:val="both"/>
      </w:pPr>
      <w:r>
        <w:rPr>
          <w:rFonts w:ascii="Times New Roman" w:cs="Times New Roman" w:eastAsia="Times New Roman" w:hAnsi="Times New Roman"/>
          <w:sz w:val="24"/>
          <w:szCs w:val="24"/>
        </w:rPr>
        <w:t xml:space="preserve">[4] S. Srinivas, A. Reddy, and V. Kumar, "Comparative Analysis of ChatGPT, Gemini and Llama-2 for Natural Language Processing Tasks," in Proc. Int. Conf. Artificial Intelligence, 2024.</w:t>
      </w:r>
    </w:p>
    <w:p>
      <w:pPr>
        <w:spacing w:after="100" w:before="0" w:line="276" w:lineRule="auto"/>
        <w:ind w:left="360" w:hanging="360"/>
        <w:jc w:val="both"/>
      </w:pPr>
      <w:r>
        <w:rPr>
          <w:rFonts w:ascii="Times New Roman" w:cs="Times New Roman" w:eastAsia="Times New Roman" w:hAnsi="Times New Roman"/>
          <w:sz w:val="24"/>
          <w:szCs w:val="24"/>
        </w:rPr>
        <w:t xml:space="preserve">[5] L. T. Ha and A. Horak, "Information Extraction from Invoices Using Pre-Trained Language Models," in Proc. Text, Speech and Dialogue (TSD), Springer, 2023, pp. 158-170.</w:t>
      </w:r>
    </w:p>
    <w:p>
      <w:pPr>
        <w:spacing w:after="100" w:before="0" w:line="276" w:lineRule="auto"/>
        <w:ind w:left="360" w:hanging="360"/>
        <w:jc w:val="both"/>
      </w:pPr>
      <w:r>
        <w:rPr>
          <w:rFonts w:ascii="Times New Roman" w:cs="Times New Roman" w:eastAsia="Times New Roman" w:hAnsi="Times New Roman"/>
          <w:sz w:val="24"/>
          <w:szCs w:val="24"/>
        </w:rPr>
        <w:t xml:space="preserve">[6] P. Rombach and P. Fettke, "Key Information Extraction from Business Documents Using Large Language Models," in Proc. INFORMATIK, 2024.</w:t>
      </w:r>
    </w:p>
    <w:p>
      <w:pPr>
        <w:spacing w:after="100" w:before="0" w:line="276" w:lineRule="auto"/>
        <w:ind w:left="360" w:hanging="360"/>
        <w:jc w:val="both"/>
      </w:pPr>
      <w:r>
        <w:rPr>
          <w:rFonts w:ascii="Times New Roman" w:cs="Times New Roman" w:eastAsia="Times New Roman" w:hAnsi="Times New Roman"/>
          <w:sz w:val="24"/>
          <w:szCs w:val="24"/>
        </w:rPr>
        <w:t xml:space="preserve">[7] J. Gbada et al., "A Comprehensive Review of Deep Learning Methods for Visually Rich Documents," arXiv preprint, 2024.</w:t>
      </w:r>
    </w:p>
    <w:p>
      <w:pPr>
        <w:spacing w:after="100" w:before="0" w:line="276" w:lineRule="auto"/>
        <w:ind w:left="360" w:hanging="360"/>
        <w:jc w:val="both"/>
      </w:pPr>
      <w:r>
        <w:rPr>
          <w:rFonts w:ascii="Times New Roman" w:cs="Times New Roman" w:eastAsia="Times New Roman" w:hAnsi="Times New Roman"/>
          <w:sz w:val="24"/>
          <w:szCs w:val="24"/>
        </w:rPr>
        <w:t xml:space="preserve">[8] P. Huo et al., "Retail-786k: a Large-Scale Dataset for Visual Entity Matching," arXiv preprint arXiv:2309.17164, 2023. [Online]. Available: https://arxiv.org/abs/2309.17164. [Accessed: May 15, 2026].</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2026-05-15T16:43:04.056Z</dcterms:created>
  <dcterms:modified xsi:type="dcterms:W3CDTF">2026-05-15T16:43:04.057Z</dcterms:modified>
</cp:coreProperties>
</file>

<file path=docProps/custom.xml><?xml version="1.0" encoding="utf-8"?>
<Properties xmlns="http://schemas.openxmlformats.org/officeDocument/2006/custom-properties" xmlns:vt="http://schemas.openxmlformats.org/officeDocument/2006/docPropsVTypes"/>
</file>