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CS3003: IT Project Management</w:t>
      </w:r>
    </w:p>
    <w:p>
      <w:pPr>
        <w:spacing w:after="100"/>
        <w:jc w:val="center"/>
      </w:pPr>
      <w:r>
        <w:rPr>
          <w:rFonts w:ascii="Arial" w:cs="Arial" w:eastAsia="Arial" w:hAnsi="Arial"/>
          <w:color w:val="2E75B6"/>
          <w:sz w:val="36"/>
          <w:szCs w:val="36"/>
        </w:rPr>
        <w:t xml:space="preserve">Comprehensive Past Paper Analysis</w:t>
      </w:r>
    </w:p>
    <w:p>
      <w:pPr>
        <w:spacing w:after="100"/>
        <w:jc w:val="center"/>
      </w:pPr>
      <w:r>
        <w:rPr>
          <w:rFonts w:ascii="Arial" w:cs="Arial" w:eastAsia="Arial" w:hAnsi="Arial"/>
          <w:color w:val="2E75B6"/>
          <w:sz w:val="36"/>
          <w:szCs w:val="36"/>
        </w:rPr>
        <w:t xml:space="preserve">&amp; Exam Predictions 2025/26</w:t>
      </w:r>
    </w:p>
    <w:p>
      <w:pPr>
        <w:spacing w:after="100" w:before="600"/>
        <w:jc w:val="center"/>
      </w:pPr>
      <w:r>
        <w:rPr>
          <w:rFonts w:ascii="Arial" w:cs="Arial" w:eastAsia="Arial" w:hAnsi="Arial"/>
          <w:color w:val="555555"/>
          <w:sz w:val="24"/>
          <w:szCs w:val="24"/>
        </w:rPr>
        <w:t xml:space="preserve">Royal Holloway, University of London</w:t>
      </w:r>
    </w:p>
    <w:p>
      <w:pPr>
        <w:spacing w:after="100"/>
        <w:jc w:val="center"/>
      </w:pPr>
      <w:r>
        <w:rPr>
          <w:rFonts w:ascii="Arial" w:cs="Arial" w:eastAsia="Arial" w:hAnsi="Arial"/>
          <w:color w:val="555555"/>
          <w:sz w:val="22"/>
          <w:szCs w:val="22"/>
        </w:rPr>
        <w:t xml:space="preserve">Papers Analysed: 2018, 2019, 2020 (Sample), 2023, 2024, 2025</w:t>
      </w:r>
    </w:p>
    <w:p>
      <w:pPr>
        <w:spacing w:after="100"/>
        <w:jc w:val="center"/>
      </w:pPr>
      <w:r>
        <w:rPr>
          <w:rFonts w:ascii="Arial" w:cs="Arial" w:eastAsia="Arial" w:hAnsi="Arial"/>
          <w:color w:val="555555"/>
          <w:sz w:val="22"/>
          <w:szCs w:val="22"/>
        </w:rPr>
        <w:t xml:space="preserve">Generated: April 2026</w:t>
      </w:r>
    </w:p>
    <w:p>
      <w:pPr>
        <w:pageBreakBefore/>
      </w:pPr>
      <w:r>
        <w:br/>
      </w:r>
    </w:p>
    <w:p>
      <w:pPr>
        <w:pStyle w:val="Heading1"/>
        <w:spacing w:after="150" w:before="300"/>
      </w:pPr>
      <w:r>
        <w:rPr>
          <w:rFonts w:ascii="Arial" w:cs="Arial" w:eastAsia="Arial" w:hAnsi="Arial"/>
          <w:b/>
          <w:bCs/>
          <w:color w:val="1F4E79"/>
        </w:rPr>
        <w:t xml:space="preserve">1. Executive Summary</w:t>
      </w:r>
    </w:p>
    <w:p>
      <w:pPr>
        <w:spacing w:after="120"/>
      </w:pPr>
      <w:r>
        <w:rPr>
          <w:rFonts w:ascii="Arial" w:cs="Arial" w:eastAsia="Arial" w:hAnsi="Arial"/>
          <w:sz w:val="22"/>
          <w:szCs w:val="22"/>
        </w:rPr>
        <w:t xml:space="preserve">This report analyses six CS3003 IT Project Management exam papers spanning 2018 to 2025 to identify recurring patterns, topic frequencies, and trends. The goal is to provide evidence-based predictions for your upcoming exam and inform a targeted revision strategy.</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The exam format changed significantly from 2020 onwards. The 2018 and 2019 papers required students to answer 3 out of 4 questions (choice-based), while all papers from 2020 onwards require ALL questions to be answered (compulsory). The exam consistently lasts 2 hours with no calculators permitted.</w:t>
      </w:r>
    </w:p>
    <w:p>
      <w:pPr>
        <w:spacing w:after="120"/>
      </w:pPr>
      <w:r>
        <w:rPr>
          <w:rFonts w:ascii="Arial" w:cs="Arial" w:eastAsia="Arial" w:hAnsi="Arial"/>
          <w:b/>
          <w:bCs/>
          <w:sz w:val="22"/>
          <w:szCs w:val="22"/>
        </w:rPr>
        <w:t xml:space="preserve">Banker Topics: </w:t>
      </w:r>
      <w:r>
        <w:rPr>
          <w:rFonts w:ascii="Arial" w:cs="Arial" w:eastAsia="Arial" w:hAnsi="Arial"/>
          <w:sz w:val="22"/>
          <w:szCs w:val="22"/>
        </w:rPr>
        <w:t xml:space="preserve">Network Diagrams/Critical Path, Earned Value Management, Risk Management, and Configuration/Change Management appear in every single paper. These are absolute must-know topics.</w:t>
      </w:r>
    </w:p>
    <w:p>
      <w:pPr>
        <w:pageBreakBefore/>
      </w:pPr>
      <w:r>
        <w:br/>
      </w:r>
    </w:p>
    <w:p>
      <w:pPr>
        <w:pStyle w:val="Heading1"/>
        <w:spacing w:after="150" w:before="300"/>
      </w:pPr>
      <w:r>
        <w:rPr>
          <w:rFonts w:ascii="Arial" w:cs="Arial" w:eastAsia="Arial" w:hAnsi="Arial"/>
          <w:b/>
          <w:bCs/>
          <w:color w:val="1F4E79"/>
        </w:rPr>
        <w:t xml:space="preserve">2. Question Pattern Analysis</w:t>
      </w:r>
    </w:p>
    <w:p>
      <w:pPr>
        <w:pStyle w:val="Heading2"/>
        <w:spacing w:after="150" w:before="300"/>
      </w:pPr>
      <w:r>
        <w:rPr>
          <w:rFonts w:ascii="Arial" w:cs="Arial" w:eastAsia="Arial" w:hAnsi="Arial"/>
          <w:b/>
          <w:bCs/>
          <w:color w:val="1F4E79"/>
        </w:rPr>
        <w:t xml:space="preserve">2.1 Exam Structure Overview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1200"/>
        <w:gridCol w:w="1200"/>
        <w:gridCol w:w="1100"/>
      </w:tblGrid>
      <w:tr>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2018</w:t>
            </w:r>
          </w:p>
        </w:tc>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2019</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2020 (Sample)</w:t>
            </w:r>
          </w:p>
        </w:tc>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2023</w:t>
            </w:r>
          </w:p>
        </w:tc>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2024</w:t>
            </w:r>
          </w:p>
        </w:tc>
        <w:tc>
          <w:tcPr>
            <w:tcW w:type="dxa" w:w="1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Format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Answer 3 of 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Answer 3 of 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Answer ALL (3)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Answer ALL (3)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Answer ALL (3)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Answer ALL (3)</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Duration</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 hours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 hours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 hours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 hours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 hours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 hours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Calculators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Not permitted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Not permitted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Not permitted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Not permitted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Not permitted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Not permitted</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Total Marks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~102 (34x3)</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~102 (34x3)</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Questions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 (choose 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 (choose 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 compulsory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 compulsory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 compulsory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 compulsory</w:t>
            </w:r>
          </w:p>
        </w:tc>
      </w:tr>
    </w:tbl>
    <w:p>
      <w:pPr>
        <w:spacing w:after="200"/>
      </w:pPr>
    </w:p>
    <w:p>
      <w:pPr>
        <w:pStyle w:val="Heading2"/>
        <w:spacing w:after="150" w:before="300"/>
      </w:pPr>
      <w:r>
        <w:rPr>
          <w:rFonts w:ascii="Arial" w:cs="Arial" w:eastAsia="Arial" w:hAnsi="Arial"/>
          <w:b/>
          <w:bCs/>
          <w:color w:val="1F4E79"/>
        </w:rPr>
        <w:t xml:space="preserve">2.2 Recurring Question Formats</w:t>
      </w:r>
    </w:p>
    <w:p>
      <w:pPr>
        <w:spacing w:after="120"/>
      </w:pPr>
      <w:r>
        <w:rPr>
          <w:rFonts w:ascii="Arial" w:cs="Arial" w:eastAsia="Arial" w:hAnsi="Arial"/>
          <w:sz w:val="22"/>
          <w:szCs w:val="22"/>
        </w:rPr>
        <w:t xml:space="preserve">The exam consistently uses five main question formats, often mixing them within a single numbered question: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500"/>
        <w:gridCol w:w="4000"/>
      </w:tblGrid>
      <w:tr>
        <w:tc>
          <w:tcPr>
            <w:tcW w:type="dxa" w:w="2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Question Format</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Typical Marks</w:t>
            </w:r>
          </w:p>
        </w:tc>
        <w:tc>
          <w:tcPr>
            <w:tcW w:type="dxa" w:w="4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True/False with justification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Every paper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8–12 marks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5–6 statements on risk, config mgmt, or planning</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Multiple-choice scenario (select + justify)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Every paper (2–4 per exam)</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7–12 marks</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PM scenario: which action is most appropriate?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Network Diagram + Critical Path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Every paper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11–15 marks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Given activities table, draw diagram + mark CP</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Earned Value Management calculation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Every paper</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10–15 marks</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Calculate EV, CPI, SPI; determine project status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Define/explain concept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Every paper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4–10 marks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Explain quality assurance vs project assurance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TCO (Total Cost of Ownership) calculation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 of 6 papers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10–16 marks</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Given licensing scheme, derive 5-year TCO formula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Conflict resolution scenario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 of 6 papers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6–8 marks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Two developers in conflict: which approach?</w:t>
            </w:r>
          </w:p>
        </w:tc>
      </w:tr>
    </w:tbl>
    <w:p>
      <w:pPr>
        <w:spacing w:after="200"/>
      </w:pPr>
    </w:p>
    <w:p>
      <w:pPr>
        <w:pStyle w:val="Heading2"/>
        <w:spacing w:after="150" w:before="300"/>
      </w:pPr>
      <w:r>
        <w:rPr>
          <w:rFonts w:ascii="Arial" w:cs="Arial" w:eastAsia="Arial" w:hAnsi="Arial"/>
          <w:b/>
          <w:bCs/>
          <w:color w:val="1F4E79"/>
        </w:rPr>
        <w:t xml:space="preserve">2.3 Mark Distribution Pattern</w:t>
      </w:r>
    </w:p>
    <w:p>
      <w:pPr>
        <w:spacing w:after="120"/>
      </w:pPr>
      <w:r>
        <w:rPr>
          <w:rFonts w:ascii="Arial" w:cs="Arial" w:eastAsia="Arial" w:hAnsi="Arial"/>
          <w:sz w:val="22"/>
          <w:szCs w:val="22"/>
        </w:rPr>
        <w:t xml:space="preserve">Each question typically contains 3–4 sub-parts (a, b, c, d) with marks split roughly as follows: one sub-part is a major calculation or diagram question worth 10–15 marks, two sub-parts are scenario-based or definition questions worth 6–10 marks each, and one is a True/False or short knowledge-check question worth 8–12 marks. The 50/50 bookwork-to-application ratio stated in the 2018 and 2019 marking schemes appears to hold consistently across all papers.</w:t>
      </w:r>
    </w:p>
    <w:p>
      <w:pPr>
        <w:pageBreakBefore/>
      </w:pPr>
      <w:r>
        <w:br/>
      </w:r>
    </w:p>
    <w:p>
      <w:pPr>
        <w:pStyle w:val="Heading1"/>
        <w:spacing w:after="150" w:before="300"/>
      </w:pPr>
      <w:r>
        <w:rPr>
          <w:rFonts w:ascii="Arial" w:cs="Arial" w:eastAsia="Arial" w:hAnsi="Arial"/>
          <w:b/>
          <w:bCs/>
          <w:color w:val="1F4E79"/>
        </w:rPr>
        <w:t xml:space="preserve">3. Topic Frequency Mapping</w:t>
      </w:r>
    </w:p>
    <w:p>
      <w:pPr>
        <w:pStyle w:val="Heading2"/>
        <w:spacing w:after="150" w:before="300"/>
      </w:pPr>
      <w:r>
        <w:rPr>
          <w:rFonts w:ascii="Arial" w:cs="Arial" w:eastAsia="Arial" w:hAnsi="Arial"/>
          <w:b/>
          <w:bCs/>
          <w:color w:val="1F4E79"/>
        </w:rPr>
        <w:t xml:space="preserve">3.1 Complete Topic Occurrence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800"/>
        <w:gridCol w:w="800"/>
        <w:gridCol w:w="800"/>
        <w:gridCol w:w="800"/>
        <w:gridCol w:w="900"/>
      </w:tblGrid>
      <w:tr>
        <w:tc>
          <w:tcPr>
            <w:tcW w:type="dxa" w:w="2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Topic</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2018</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2019</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2020</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2023</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2024</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2025</w:t>
            </w:r>
          </w:p>
        </w:tc>
        <w:tc>
          <w:tcPr>
            <w:tcW w:type="dxa" w:w="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Network Diagram / Critical Path</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Earned Value Management (EV/CPI/SPI)</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Risk Management (general)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Configuration &amp; Change Management</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Conflict Resolution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TCO (Total Cost of Ownership)</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Assurance vs Project Assurance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Project Communications Management</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Rollout/Go-Live Strategies &amp; Docs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Package-based vs Custom-built Software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Stakeholder Analysis/Management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Project Definition / Project vs Programme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Risk Treatment Actions (5 types)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Risk Management Plan</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Contingency vs Management Reserves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Budgeting / Cost Estimation (Delphi etc.)</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WBS / Scope Management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Gantt Chart</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Project Progress Reporting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Tuckman Model (Team Development)</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IT Project Characteristics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Ineffective Team Factors</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Project Meetings Types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Kick-off Meeting Presentation</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Requirements Elicitation Methods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Schedule Recovery Actions</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Project Charter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Business Case Document</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Baselines (PM and Config Mgmt)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Scope Creep / Gold Plating</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Product Quality vs Process Quality</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Change Request Process</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4/6</w:t>
            </w:r>
          </w:p>
        </w:tc>
      </w:tr>
    </w:tbl>
    <w:p>
      <w:pPr>
        <w:spacing w:after="200"/>
      </w:pPr>
    </w:p>
    <w:p>
      <w:pPr>
        <w:pStyle w:val="Heading2"/>
        <w:spacing w:after="150" w:before="300"/>
      </w:pPr>
      <w:r>
        <w:rPr>
          <w:rFonts w:ascii="Arial" w:cs="Arial" w:eastAsia="Arial" w:hAnsi="Arial"/>
          <w:b/>
          <w:bCs/>
          <w:color w:val="1F4E79"/>
        </w:rPr>
        <w:t xml:space="preserve">3.2 Topics Appearing as Major Questions (10+ Marks)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500"/>
      </w:tblGrid>
      <w:tr>
        <w:tc>
          <w:tcPr>
            <w:tcW w:type="dxa" w:w="3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Topic</w:t>
            </w:r>
          </w:p>
        </w:tc>
        <w:tc>
          <w:tcPr>
            <w:tcW w:type="dxa" w:w="2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Typical Mark Weight</w:t>
            </w:r>
          </w:p>
        </w:tc>
        <w:tc>
          <w:tcPr>
            <w:tcW w:type="dxa" w:w="3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Years as Major Q</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Network Diagram + Critical Path</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11–15 marks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2018, 2019, 2020, 2023, 2024, 2025</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Earned Value Management</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10–15 marks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2018, 2019, 2023, 2024, 2025</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TCO Calculation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13–16 marks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2019, 2020, 2024</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Risk Management Process Diagram</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 marks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2018, 2024</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Rollout Strategies + Risks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10–12 marks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2019, 2023</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Configuration Mgmt Definitions</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9–10 marks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2019, 2020</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Change Management Process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 marks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2020</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Tuckman Model</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 marks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2024</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Conflict Resolution Scenario</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 marks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2019, 2023, 2025</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True/False Statements</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10–12 marks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Every paper</w:t>
            </w:r>
          </w:p>
        </w:tc>
      </w:tr>
    </w:tbl>
    <w:p>
      <w:pPr>
        <w:spacing w:after="200"/>
      </w:pPr>
    </w:p>
    <w:p>
      <w:pPr>
        <w:pageBreakBefore/>
      </w:pPr>
      <w:r>
        <w:br/>
      </w:r>
    </w:p>
    <w:p>
      <w:pPr>
        <w:pStyle w:val="Heading1"/>
        <w:spacing w:after="150" w:before="300"/>
      </w:pPr>
      <w:r>
        <w:rPr>
          <w:rFonts w:ascii="Arial" w:cs="Arial" w:eastAsia="Arial" w:hAnsi="Arial"/>
          <w:b/>
          <w:bCs/>
          <w:color w:val="1F4E79"/>
        </w:rPr>
        <w:t xml:space="preserve">4. Trend Analysis</w:t>
      </w:r>
    </w:p>
    <w:p>
      <w:pPr>
        <w:pStyle w:val="Heading2"/>
        <w:spacing w:after="150" w:before="300"/>
      </w:pPr>
      <w:r>
        <w:rPr>
          <w:rFonts w:ascii="Arial" w:cs="Arial" w:eastAsia="Arial" w:hAnsi="Arial"/>
          <w:b/>
          <w:bCs/>
          <w:color w:val="1F4E79"/>
        </w:rPr>
        <w:t xml:space="preserve">4.1 Consistent Topics (Appear Every Year)</w:t>
      </w:r>
    </w:p>
    <w:p>
      <w:pPr>
        <w:spacing w:after="120"/>
      </w:pPr>
      <w:r>
        <w:rPr>
          <w:rFonts w:ascii="Arial" w:cs="Arial" w:eastAsia="Arial" w:hAnsi="Arial"/>
          <w:sz w:val="22"/>
          <w:szCs w:val="22"/>
        </w:rPr>
        <w:t xml:space="preserve">Four topics appear in every single paper across all six years: Network Diagrams with Critical Path Analysis, Earned Value Management calculations, Risk Management concepts, and Configuration/Change Management. These are the absolute core of the exam and collectively account for approximately 50–60% of total marks in every paper.</w:t>
      </w:r>
    </w:p>
    <w:p>
      <w:pPr>
        <w:pStyle w:val="Heading2"/>
        <w:spacing w:after="150" w:before="300"/>
      </w:pPr>
      <w:r>
        <w:rPr>
          <w:rFonts w:ascii="Arial" w:cs="Arial" w:eastAsia="Arial" w:hAnsi="Arial"/>
          <w:b/>
          <w:bCs/>
          <w:color w:val="1F4E79"/>
        </w:rPr>
        <w:t xml:space="preserve">4.2 Increasing Frequency Topics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000"/>
      </w:tblGrid>
      <w:t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Topic</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w:t>
            </w:r>
          </w:p>
        </w:tc>
        <w:tc>
          <w:tcPr>
            <w:tcW w:type="dxa" w:w="5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Change Request Process (scenarios)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Increasing</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Absent in 2018–2019; present in 2020, 2023, 2024, 2025 (4 of last 4 papers)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Contingency vs Management Reserves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Increasing</w:t>
            </w:r>
          </w:p>
        </w:tc>
        <w:tc>
          <w:tcPr>
            <w:tcW w:type="dxa" w:w="5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2018, absent 2019–2020, then back in 2023 and 2025</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Business Case / Project Charter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New in 2025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First standalone appearance in 2025; signalling a return to fundamentals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Baselines concept</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New in 2025</w:t>
            </w:r>
          </w:p>
        </w:tc>
        <w:tc>
          <w:tcPr>
            <w:tcW w:type="dxa" w:w="5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Combined PM baselines + config mgmt baselines in 2025 for first time</w:t>
            </w:r>
          </w:p>
        </w:tc>
      </w:tr>
    </w:tbl>
    <w:p>
      <w:pPr>
        <w:spacing w:after="200"/>
      </w:pPr>
    </w:p>
    <w:p>
      <w:pPr>
        <w:pStyle w:val="Heading2"/>
        <w:spacing w:after="150" w:before="300"/>
      </w:pPr>
      <w:r>
        <w:rPr>
          <w:rFonts w:ascii="Arial" w:cs="Arial" w:eastAsia="Arial" w:hAnsi="Arial"/>
          <w:b/>
          <w:bCs/>
          <w:color w:val="1F4E79"/>
        </w:rPr>
        <w:t xml:space="preserve">4.3 Decreasing Frequency Topics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800"/>
      </w:tblGrid>
      <w:tr>
        <w:tc>
          <w:tcPr>
            <w:tcW w:type="dxa" w:w="3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Topic</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Trend</w:t>
            </w:r>
          </w:p>
        </w:tc>
        <w:tc>
          <w:tcPr>
            <w:tcW w:type="dxa" w:w="4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Gantt Chart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Declining</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Only appeared in 2018; not seen since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WBS / Scope Management (standalone)</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Declining</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Only appeared as True/False in 2019; not a standalone question since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IT Project Characteristics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Declining</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Only 2018</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Stakeholder Power/Interest Grid</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Declining</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Only 2019; not seen since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Kick-off Meeting Presentation outline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Declining</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Only 2020; not seen since</w:t>
            </w:r>
          </w:p>
        </w:tc>
      </w:tr>
    </w:tbl>
    <w:p>
      <w:pPr>
        <w:spacing w:after="200"/>
      </w:pPr>
    </w:p>
    <w:p>
      <w:pPr>
        <w:pStyle w:val="Heading2"/>
        <w:spacing w:after="150" w:before="300"/>
      </w:pPr>
      <w:r>
        <w:rPr>
          <w:rFonts w:ascii="Arial" w:cs="Arial" w:eastAsia="Arial" w:hAnsi="Arial"/>
          <w:b/>
          <w:bCs/>
          <w:color w:val="1F4E79"/>
        </w:rPr>
        <w:t xml:space="preserve">4.4 Rotating Patterns</w:t>
      </w:r>
    </w:p>
    <w:p>
      <w:pPr>
        <w:spacing w:after="120"/>
      </w:pPr>
      <w:r>
        <w:rPr>
          <w:rFonts w:ascii="Arial" w:cs="Arial" w:eastAsia="Arial" w:hAnsi="Arial"/>
          <w:sz w:val="22"/>
          <w:szCs w:val="22"/>
        </w:rPr>
        <w:t xml:space="preserve">TCO Calculation: Appears in alternating fashion – present in 2019, 2020, 2024 but absent in 2018, 2023, 2025. Given its absence in 2025, it is highly likely to return in the 2026 exam.</w:t>
      </w:r>
    </w:p>
    <w:p>
      <w:pPr>
        <w:spacing w:after="120"/>
      </w:pPr>
      <w:r>
        <w:rPr>
          <w:rFonts w:ascii="Arial" w:cs="Arial" w:eastAsia="Arial" w:hAnsi="Arial"/>
          <w:sz w:val="22"/>
          <w:szCs w:val="22"/>
        </w:rPr>
        <w:t xml:space="preserve">Conflict Resolution: Appears in 2018, 2019, 2023, 2025 (skipping 2020 and 2024). It appeared in the most recent paper (2025), so it may rotate out in 2026 but remains important.</w:t>
      </w:r>
    </w:p>
    <w:p>
      <w:pPr>
        <w:spacing w:after="120"/>
      </w:pPr>
      <w:r>
        <w:rPr>
          <w:rFonts w:ascii="Arial" w:cs="Arial" w:eastAsia="Arial" w:hAnsi="Arial"/>
          <w:sz w:val="22"/>
          <w:szCs w:val="22"/>
        </w:rPr>
        <w:t xml:space="preserve">Quality Assurance vs Project Assurance: Appeared in 2018, 2019, 2023, 2024 but was absent in 2025. This gap makes it a strong candidate for 2026.</w:t>
      </w:r>
    </w:p>
    <w:p>
      <w:pPr>
        <w:spacing w:after="120"/>
      </w:pPr>
      <w:r>
        <w:rPr>
          <w:rFonts w:ascii="Arial" w:cs="Arial" w:eastAsia="Arial" w:hAnsi="Arial"/>
          <w:sz w:val="22"/>
          <w:szCs w:val="22"/>
        </w:rPr>
        <w:t xml:space="preserve">Communications Management: Appeared in 2018 and 2024 only (every 6 years?). Could reappear but pattern is weak.</w:t>
      </w:r>
    </w:p>
    <w:p>
      <w:pPr>
        <w:pStyle w:val="Heading2"/>
        <w:spacing w:after="150" w:before="300"/>
      </w:pPr>
      <w:r>
        <w:rPr>
          <w:rFonts w:ascii="Arial" w:cs="Arial" w:eastAsia="Arial" w:hAnsi="Arial"/>
          <w:b/>
          <w:bCs/>
          <w:color w:val="1F4E79"/>
        </w:rPr>
        <w:t xml:space="preserve">4.5 Question Type – Topic Pairings</w:t>
      </w:r>
    </w:p>
    <w:p>
      <w:pPr>
        <w:spacing w:after="120"/>
      </w:pPr>
      <w:r>
        <w:rPr>
          <w:rFonts w:ascii="Arial" w:cs="Arial" w:eastAsia="Arial" w:hAnsi="Arial"/>
          <w:sz w:val="22"/>
          <w:szCs w:val="22"/>
        </w:rPr>
        <w:t xml:space="preserve">Network Diagrams always use the same format: a table of activities with durations and predecessors, followed by (i) draw the network diagram with floats, (ii) mark the critical path. This has been identical across all six papers.</w:t>
      </w:r>
    </w:p>
    <w:p>
      <w:pPr>
        <w:spacing w:after="120"/>
      </w:pPr>
      <w:r>
        <w:rPr>
          <w:rFonts w:ascii="Arial" w:cs="Arial" w:eastAsia="Arial" w:hAnsi="Arial"/>
          <w:sz w:val="22"/>
          <w:szCs w:val="22"/>
        </w:rPr>
        <w:t xml:space="preserve">EVM always presents a scenario with two activities, their actual costs, planned values, and completion percentages, then asks students to select and justify which of four status statements is correct.</w:t>
      </w:r>
    </w:p>
    <w:p>
      <w:pPr>
        <w:spacing w:after="120"/>
      </w:pPr>
      <w:r>
        <w:rPr>
          <w:rFonts w:ascii="Arial" w:cs="Arial" w:eastAsia="Arial" w:hAnsi="Arial"/>
          <w:sz w:val="22"/>
          <w:szCs w:val="22"/>
        </w:rPr>
        <w:t xml:space="preserve">True/False blocks always combine statements from multiple topics (risk, configuration management, change management, estimation, scope) into 4–6 statements for 8–12 marks.</w:t>
      </w:r>
    </w:p>
    <w:p>
      <w:pPr>
        <w:spacing w:after="120"/>
      </w:pPr>
      <w:r>
        <w:rPr>
          <w:rFonts w:ascii="Arial" w:cs="Arial" w:eastAsia="Arial" w:hAnsi="Arial"/>
          <w:sz w:val="22"/>
          <w:szCs w:val="22"/>
        </w:rPr>
        <w:t xml:space="preserve">TCO questions always involve a software package with per-user and per-CPU licensing, annual maintenance fees starting year 2, and ask for a formula and/or numeric calculation over 5 years.</w:t>
      </w:r>
    </w:p>
    <w:p>
      <w:pPr>
        <w:pageBreakBefore/>
      </w:pPr>
      <w:r>
        <w:br/>
      </w:r>
    </w:p>
    <w:p>
      <w:pPr>
        <w:pStyle w:val="Heading1"/>
        <w:spacing w:after="150" w:before="300"/>
      </w:pPr>
      <w:r>
        <w:rPr>
          <w:rFonts w:ascii="Arial" w:cs="Arial" w:eastAsia="Arial" w:hAnsi="Arial"/>
          <w:b/>
          <w:bCs/>
          <w:color w:val="1F4E79"/>
        </w:rPr>
        <w:t xml:space="preserve">5. Gap Analysis</w:t>
      </w:r>
    </w:p>
    <w:p>
      <w:pPr>
        <w:pStyle w:val="Heading2"/>
        <w:spacing w:after="150" w:before="300"/>
      </w:pPr>
      <w:r>
        <w:rPr>
          <w:rFonts w:ascii="Arial" w:cs="Arial" w:eastAsia="Arial" w:hAnsi="Arial"/>
          <w:b/>
          <w:bCs/>
          <w:color w:val="1F4E79"/>
        </w:rPr>
        <w:t xml:space="preserve">5.1 Syllabus Topics Not Recently Examined</w:t>
      </w:r>
    </w:p>
    <w:p>
      <w:pPr>
        <w:spacing w:after="120"/>
      </w:pPr>
      <w:r>
        <w:rPr>
          <w:rFonts w:ascii="Arial" w:cs="Arial" w:eastAsia="Arial" w:hAnsi="Arial"/>
          <w:sz w:val="22"/>
          <w:szCs w:val="22"/>
        </w:rPr>
        <w:t xml:space="preserve">Cross-referencing the lecture content (Parts 2–10) with exam appearances reveals several gaps. The following topics are covered in lectures but have been absent from recent exams: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900"/>
      </w:tblGrid>
      <w:tr>
        <w:tc>
          <w:tcPr>
            <w:tcW w:type="dxa" w:w="3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Topic (from Lectures)</w:t>
            </w:r>
          </w:p>
        </w:tc>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Last Exam Appearance</w:t>
            </w:r>
          </w:p>
        </w:tc>
        <w:tc>
          <w:tcPr>
            <w:tcW w:type="dxa" w:w="1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Lecture Part</w:t>
            </w:r>
          </w:p>
        </w:tc>
        <w:tc>
          <w:tcPr>
            <w:tcW w:type="dxa" w:w="2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Tuckman Model of Team Development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Part 8</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Recently tested – may rotate out</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Skills &amp; Code of Ethics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Never tested</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Part 10</w:t>
            </w:r>
          </w:p>
        </w:tc>
        <w:tc>
          <w:tcPr>
            <w:tcW w:type="dxa" w:w="2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HIGH PRIORITY GAP – untested lecture content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Assurance vs Project Assurance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2024 (absent 2025)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Part 9</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Due for return</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Stakeholder Power/Interest Grid</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2019</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Part 3</w:t>
            </w:r>
          </w:p>
        </w:tc>
        <w:tc>
          <w:tcPr>
            <w:tcW w:type="dxa" w:w="2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Long gap – overdue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Requirements Elicitation Methods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Part 4 (Scope)</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Medium gap</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WBS / Scope Management detailed</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2019</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Part 4 (Scope)</w:t>
            </w:r>
          </w:p>
        </w:tc>
        <w:tc>
          <w:tcPr>
            <w:tcW w:type="dxa" w:w="2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Long gap</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Gantt Chart construction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2018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Part 4 (Time)</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Very long gap</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Kick-off Meeting / Project Meetings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2019–2020</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Part 3</w:t>
            </w:r>
          </w:p>
        </w:tc>
        <w:tc>
          <w:tcPr>
            <w:tcW w:type="dxa" w:w="2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Medium gap</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Package vs Custom-built comparison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2025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Part 2</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Just tested</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Project definition / Programme vs Project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2020</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Part 2</w:t>
            </w:r>
          </w:p>
        </w:tc>
        <w:tc>
          <w:tcPr>
            <w:tcW w:type="dxa" w:w="2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Medium gap</w:t>
            </w:r>
          </w:p>
        </w:tc>
      </w:tr>
    </w:tbl>
    <w:p>
      <w:pPr>
        <w:spacing w:after="200"/>
      </w:pPr>
    </w:p>
    <w:p>
      <w:pPr>
        <w:pStyle w:val="Heading2"/>
        <w:spacing w:after="150" w:before="300"/>
      </w:pPr>
      <w:r>
        <w:rPr>
          <w:rFonts w:ascii="Arial" w:cs="Arial" w:eastAsia="Arial" w:hAnsi="Arial"/>
          <w:b/>
          <w:bCs/>
          <w:color w:val="1F4E79"/>
        </w:rPr>
        <w:t xml:space="preserve">5.2 High-Risk Gap Topics</w:t>
      </w:r>
    </w:p>
    <w:p>
      <w:pPr>
        <w:spacing w:after="120"/>
      </w:pPr>
      <w:r>
        <w:rPr>
          <w:rFonts w:ascii="Arial" w:cs="Arial" w:eastAsia="Arial" w:hAnsi="Arial"/>
          <w:sz w:val="22"/>
          <w:szCs w:val="22"/>
        </w:rPr>
        <w:t xml:space="preserve">PM Skills and Code of Ethics (Part 10) is the most notable gap. It has its own dedicated lecture section but has NEVER been examined. While it may continue to be excluded, any new lecturer or any year could introduce it. This is a wildcard topic worth basic revision.</w:t>
      </w:r>
    </w:p>
    <w:p>
      <w:pPr>
        <w:spacing w:after="120"/>
      </w:pPr>
      <w:r>
        <w:rPr>
          <w:rFonts w:ascii="Arial" w:cs="Arial" w:eastAsia="Arial" w:hAnsi="Arial"/>
          <w:sz w:val="22"/>
          <w:szCs w:val="22"/>
        </w:rPr>
        <w:t xml:space="preserve">Stakeholder Power/Interest Grid has not appeared since 2019 (a 6+ year gap). Given its importance in project management practice and its presence in the lectures, it is a strong candidate for reappearance.</w:t>
      </w:r>
    </w:p>
    <w:p>
      <w:pPr>
        <w:spacing w:after="120"/>
      </w:pPr>
      <w:r>
        <w:rPr>
          <w:rFonts w:ascii="Arial" w:cs="Arial" w:eastAsia="Arial" w:hAnsi="Arial"/>
          <w:sz w:val="22"/>
          <w:szCs w:val="22"/>
        </w:rPr>
        <w:t xml:space="preserve">Quality topics beyond the QA vs PA distinction (e.g., quality planning, quality control tools) are covered in Part 9 lectures but rarely examined in depth.</w:t>
      </w:r>
    </w:p>
    <w:p>
      <w:pPr>
        <w:pageBreakBefore/>
      </w:pPr>
      <w:r>
        <w:br/>
      </w:r>
    </w:p>
    <w:p>
      <w:pPr>
        <w:pStyle w:val="Heading1"/>
        <w:spacing w:after="150" w:before="300"/>
      </w:pPr>
      <w:r>
        <w:rPr>
          <w:rFonts w:ascii="Arial" w:cs="Arial" w:eastAsia="Arial" w:hAnsi="Arial"/>
          <w:b/>
          <w:bCs/>
          <w:color w:val="1F4E79"/>
        </w:rPr>
        <w:t xml:space="preserve">6. Predictions with Likelihood Estimates</w:t>
      </w:r>
    </w:p>
    <w:p>
      <w:pPr>
        <w:spacing w:after="120"/>
      </w:pPr>
      <w:r>
        <w:rPr>
          <w:rFonts w:ascii="Arial" w:cs="Arial" w:eastAsia="Arial" w:hAnsi="Arial"/>
          <w:sz w:val="22"/>
          <w:szCs w:val="22"/>
        </w:rPr>
        <w:t xml:space="preserve">Based on the patterns identified across all six papers, the following predictions are made for the upcoming 2025/26 exam:</w:t>
      </w:r>
    </w:p>
    <w:p>
      <w:pPr>
        <w:spacing w:after="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800"/>
      </w:tblGrid>
      <w:tr>
        <w:tc>
          <w:tcPr>
            <w:tcW w:type="dxa" w:w="3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Predicted Topic/Question</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Likelihood</w:t>
            </w:r>
          </w:p>
        </w:tc>
        <w:tc>
          <w:tcPr>
            <w:tcW w:type="dxa" w:w="4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Reasoning</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Network Diagram + Critical Path</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VERY LIKELY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6/6 papers with identical format. This is guaranteed.</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Earned Value Management calculation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bCs/>
                <w:sz w:val="20"/>
                <w:szCs w:val="20"/>
              </w:rPr>
              <w:t xml:space="preserve">VERY LIKELY</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6/6 papers. Expect the standard two-activity scenario with 4 multiple-choice status options.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True/False block (mixed topics)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VERY LIKELY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every paper. Expect 4–6 statements covering risk, config mgmt, estimation, change management.</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Risk Management concepts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bCs/>
                <w:sz w:val="20"/>
                <w:szCs w:val="20"/>
              </w:rPr>
              <w:t xml:space="preserve">VERY LIKELY</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Present in every paper. Could appear as T/F statements, risk management plan, or risk response strategies.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Change Request / Change Management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sz w:val="20"/>
                <w:szCs w:val="20"/>
              </w:rPr>
              <w:t xml:space="preserve">VERY LIKELY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4 of last 4 papers. Expect a scenario question asking which action to take.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Configuration Management definitions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LIKELY</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Present in most papers, often as T/F. Version/Codeline/Release definitions or change/version/release management activities could appear.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TCO Calculation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LIKELY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2019, 2020, 2024 but NOT in 2025. Rotation pattern suggests it returns in 2026. Expect per-user + per-CPU licensing with 5-year formula.</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Assurance vs Project Assurance</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LIKELY</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2018, 2019, 2023, 2024 but absent in 2025. Gap suggests it returns.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Conflict Resolution scenario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LIKELY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2018, 2019, 2023, 2025 (4/6 papers). May or may not appear given it was just in 2025.</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Contingency vs Management Reserves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LIKELY</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2018, 2023, 2025. Strong recent trend. Could be a standalone explanation or embedded in a scenario.</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Stakeholder Power/Interest Grid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POSSIBLE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Last appeared in 2019. Long gap makes it a candidate. Covered in lectures.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Project Communications Management</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POSSIBLE</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2018 and 2024. Infrequent but significant lecture coverage.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Business Case / Project Charter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POSSIBLE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First appeared as standalone question in 2025. Could signal new emphasis.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Rollout/Go-Live Strategies &amp; Documentation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POSSIBLE</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2018, 2019, 2023 but absent in 2024–2025. May return.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Tuckman Model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POSSIBLE</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Appeared in 2024 only. May be a one-off or emerging trend.</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Skills / Code of Ethics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UNLIKELY</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Never tested but has lecture coverage. Wildcard.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Gantt Chart construction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UNLIKELY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Only appeared in 2018. Network diagrams have replaced this.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WBS detailed construction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UNLIKELY</w:t>
            </w:r>
          </w:p>
        </w:tc>
        <w:tc>
          <w:tcPr>
            <w:tcW w:type="dxa" w:w="4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Only appeared as T/F in 2019. Not a standalone focus area.</w:t>
            </w:r>
          </w:p>
        </w:tc>
      </w:tr>
    </w:tbl>
    <w:p>
      <w:pPr>
        <w:spacing w:after="200"/>
      </w:pPr>
    </w:p>
    <w:p>
      <w:pPr>
        <w:pageBreakBefore/>
      </w:pPr>
      <w:r>
        <w:br/>
      </w:r>
    </w:p>
    <w:p>
      <w:pPr>
        <w:pStyle w:val="Heading1"/>
        <w:spacing w:after="150" w:before="300"/>
      </w:pPr>
      <w:r>
        <w:rPr>
          <w:rFonts w:ascii="Arial" w:cs="Arial" w:eastAsia="Arial" w:hAnsi="Arial"/>
          <w:b/>
          <w:bCs/>
          <w:color w:val="1F4E79"/>
        </w:rPr>
        <w:t xml:space="preserve">7. Recommended Revision Priorities</w:t>
      </w:r>
    </w:p>
    <w:p>
      <w:pPr>
        <w:pStyle w:val="Heading2"/>
        <w:spacing w:after="150" w:before="300"/>
      </w:pPr>
      <w:r>
        <w:rPr>
          <w:rFonts w:ascii="Arial" w:cs="Arial" w:eastAsia="Arial" w:hAnsi="Arial"/>
          <w:b/>
          <w:bCs/>
          <w:color w:val="1F4E79"/>
        </w:rPr>
        <w:t xml:space="preserve">7.1 Priority Tier 1: Banker Topics (Must Know)</w:t>
      </w:r>
    </w:p>
    <w:p>
      <w:pPr>
        <w:spacing w:after="120"/>
      </w:pPr>
      <w:r>
        <w:rPr>
          <w:rFonts w:ascii="Arial" w:cs="Arial" w:eastAsia="Arial" w:hAnsi="Arial"/>
          <w:sz w:val="22"/>
          <w:szCs w:val="22"/>
        </w:rPr>
        <w:t xml:space="preserve">These topics have appeared in every paper and WILL appear in your exam. You must be fully prepared to answer questions on each of these:</w:t>
      </w:r>
    </w:p>
    <w:p>
      <w:pPr>
        <w:spacing w:after="80"/>
      </w:pPr>
    </w:p>
    <w:p>
      <w:pPr>
        <w:spacing w:after="120"/>
      </w:pPr>
      <w:r>
        <w:rPr>
          <w:rFonts w:ascii="Arial" w:cs="Arial" w:eastAsia="Arial" w:hAnsi="Arial"/>
          <w:b/>
          <w:bCs/>
          <w:sz w:val="22"/>
          <w:szCs w:val="22"/>
        </w:rPr>
        <w:t xml:space="preserve">1. Network Diagram + Critical Path Analysis: </w:t>
      </w:r>
      <w:r>
        <w:rPr>
          <w:rFonts w:ascii="Arial" w:cs="Arial" w:eastAsia="Arial" w:hAnsi="Arial"/>
          <w:sz w:val="22"/>
          <w:szCs w:val="22"/>
        </w:rPr>
        <w:t xml:space="preserve">Practise drawing Activity-on-Node diagrams from a given activities table. You must be able to calculate Early Start, Early Finish, Late Start, Late Finish, and Total Float for every activity. Mark the critical path. This is worth 11–15 marks every year and is entirely procedural – with practice, it is guaranteed marks.</w:t>
      </w:r>
    </w:p>
    <w:p>
      <w:pPr>
        <w:spacing w:after="120"/>
      </w:pPr>
      <w:r>
        <w:rPr>
          <w:rFonts w:ascii="Arial" w:cs="Arial" w:eastAsia="Arial" w:hAnsi="Arial"/>
          <w:b/>
          <w:bCs/>
          <w:sz w:val="22"/>
          <w:szCs w:val="22"/>
        </w:rPr>
        <w:t xml:space="preserve">2. Earned Value Management: </w:t>
      </w:r>
      <w:r>
        <w:rPr>
          <w:rFonts w:ascii="Arial" w:cs="Arial" w:eastAsia="Arial" w:hAnsi="Arial"/>
          <w:sz w:val="22"/>
          <w:szCs w:val="22"/>
        </w:rPr>
        <w:t xml:space="preserve">Know the formulas for EV (Earned Value = % complete × PV), SV (Schedule Variance = EV − PV), CV (Cost Variance = EV − AC), SPI (EV/PV), and CPI (EV/AC). Be able to determine if a project is ahead/behind schedule and over/under budget. This appears as a scenario every year.</w:t>
      </w:r>
    </w:p>
    <w:p>
      <w:pPr>
        <w:spacing w:after="120"/>
      </w:pPr>
      <w:r>
        <w:rPr>
          <w:rFonts w:ascii="Arial" w:cs="Arial" w:eastAsia="Arial" w:hAnsi="Arial"/>
          <w:b/>
          <w:bCs/>
          <w:sz w:val="22"/>
          <w:szCs w:val="22"/>
        </w:rPr>
        <w:t xml:space="preserve">3. Risk Management: </w:t>
      </w:r>
      <w:r>
        <w:rPr>
          <w:rFonts w:ascii="Arial" w:cs="Arial" w:eastAsia="Arial" w:hAnsi="Arial"/>
          <w:sz w:val="22"/>
          <w:szCs w:val="22"/>
        </w:rPr>
        <w:t xml:space="preserve">Know the four generic activities of risk management (Identify, Assess, Plan/Respond, Monitor/Control) and be able to draw the process diagram. Know the five risk response strategies (Avoid, Reduce/Mitigate, Transfer, Accept, Share). Understand risk registers, risk appetite, contingency plans, and the difference between known and unknown risks. Be prepared for True/False statements on these concepts.</w:t>
      </w:r>
    </w:p>
    <w:p>
      <w:pPr>
        <w:spacing w:after="120"/>
      </w:pPr>
      <w:r>
        <w:rPr>
          <w:rFonts w:ascii="Arial" w:cs="Arial" w:eastAsia="Arial" w:hAnsi="Arial"/>
          <w:b/>
          <w:bCs/>
          <w:sz w:val="22"/>
          <w:szCs w:val="22"/>
        </w:rPr>
        <w:t xml:space="preserve">4. Configuration &amp; Change Management: </w:t>
      </w:r>
      <w:r>
        <w:rPr>
          <w:rFonts w:ascii="Arial" w:cs="Arial" w:eastAsia="Arial" w:hAnsi="Arial"/>
          <w:sz w:val="22"/>
          <w:szCs w:val="22"/>
        </w:rPr>
        <w:t xml:space="preserve">Know the definitions of Version, Codeline, Release, and Configuration Item. Know the change management process and be able to draw its diagram. Understand why change requests are NOT signs of poor planning. Know the three sub-activities: Change Management, Version Management, Release Management.</w:t>
      </w:r>
    </w:p>
    <w:p>
      <w:pPr>
        <w:pStyle w:val="Heading2"/>
        <w:spacing w:after="150" w:before="300"/>
      </w:pPr>
      <w:r>
        <w:rPr>
          <w:rFonts w:ascii="Arial" w:cs="Arial" w:eastAsia="Arial" w:hAnsi="Arial"/>
          <w:b/>
          <w:bCs/>
          <w:color w:val="1F4E79"/>
        </w:rPr>
        <w:t xml:space="preserve">7.2 Priority Tier 2: High Probability Topics</w:t>
      </w:r>
    </w:p>
    <w:p>
      <w:pPr>
        <w:spacing w:after="120"/>
      </w:pPr>
      <w:r>
        <w:rPr>
          <w:rFonts w:ascii="Arial" w:cs="Arial" w:eastAsia="Arial" w:hAnsi="Arial"/>
          <w:b/>
          <w:bCs/>
          <w:sz w:val="22"/>
          <w:szCs w:val="22"/>
        </w:rPr>
        <w:t xml:space="preserve">5. TCO Calculation: </w:t>
      </w:r>
      <w:r>
        <w:rPr>
          <w:rFonts w:ascii="Arial" w:cs="Arial" w:eastAsia="Arial" w:hAnsi="Arial"/>
          <w:sz w:val="22"/>
          <w:szCs w:val="22"/>
        </w:rPr>
        <w:t xml:space="preserve">Practise the formula structure: TCO = Software Licensing + SW Maintenance (4 years at 20%) + Hardware Acquisition + HW Maintenance (4 years at 10%). Know how to handle per-user licensing, per-CPU licensing, tiered CPU requirements, and disaster recovery sites.</w:t>
      </w:r>
    </w:p>
    <w:p>
      <w:pPr>
        <w:spacing w:after="120"/>
      </w:pPr>
      <w:r>
        <w:rPr>
          <w:rFonts w:ascii="Arial" w:cs="Arial" w:eastAsia="Arial" w:hAnsi="Arial"/>
          <w:b/>
          <w:bCs/>
          <w:sz w:val="22"/>
          <w:szCs w:val="22"/>
        </w:rPr>
        <w:t xml:space="preserve">6. Quality Assurance vs Project Assurance: </w:t>
      </w:r>
      <w:r>
        <w:rPr>
          <w:rFonts w:ascii="Arial" w:cs="Arial" w:eastAsia="Arial" w:hAnsi="Arial"/>
          <w:sz w:val="22"/>
          <w:szCs w:val="22"/>
        </w:rPr>
        <w:t xml:space="preserve">Know the key difference: QA is independent of the project (external), while PA is independent of the project manager (internal to project but checking PM). Know product quality vs process quality.</w:t>
      </w:r>
    </w:p>
    <w:p>
      <w:pPr>
        <w:spacing w:after="120"/>
      </w:pPr>
      <w:r>
        <w:rPr>
          <w:rFonts w:ascii="Arial" w:cs="Arial" w:eastAsia="Arial" w:hAnsi="Arial"/>
          <w:b/>
          <w:bCs/>
          <w:sz w:val="22"/>
          <w:szCs w:val="22"/>
        </w:rPr>
        <w:t xml:space="preserve">7. Conflict Resolution Approaches: </w:t>
      </w:r>
      <w:r>
        <w:rPr>
          <w:rFonts w:ascii="Arial" w:cs="Arial" w:eastAsia="Arial" w:hAnsi="Arial"/>
          <w:sz w:val="22"/>
          <w:szCs w:val="22"/>
        </w:rPr>
        <w:t xml:space="preserve">Know all approaches: Compromise, Accept/Do Nothing, Impose a Judgement, Defuse/Mediate. Know that scope-related conflicts should NOT be compromised on but should be resolved by going back to the agreed scope (Impose a judgement).</w:t>
      </w:r>
    </w:p>
    <w:p>
      <w:pPr>
        <w:spacing w:after="120"/>
      </w:pPr>
      <w:r>
        <w:rPr>
          <w:rFonts w:ascii="Arial" w:cs="Arial" w:eastAsia="Arial" w:hAnsi="Arial"/>
          <w:b/>
          <w:bCs/>
          <w:sz w:val="22"/>
          <w:szCs w:val="22"/>
        </w:rPr>
        <w:t xml:space="preserve">8. Contingency vs Management Reserves: </w:t>
      </w:r>
      <w:r>
        <w:rPr>
          <w:rFonts w:ascii="Arial" w:cs="Arial" w:eastAsia="Arial" w:hAnsi="Arial"/>
          <w:sz w:val="22"/>
          <w:szCs w:val="22"/>
        </w:rPr>
        <w:t xml:space="preserve">Contingency reserves are for identified risks and are within the PM’s authority. Management reserves are for unidentified risks and require approval beyond the PM.</w:t>
      </w:r>
    </w:p>
    <w:p>
      <w:pPr>
        <w:spacing w:after="120"/>
      </w:pPr>
      <w:r>
        <w:rPr>
          <w:rFonts w:ascii="Arial" w:cs="Arial" w:eastAsia="Arial" w:hAnsi="Arial"/>
          <w:b/>
          <w:bCs/>
          <w:sz w:val="22"/>
          <w:szCs w:val="22"/>
        </w:rPr>
        <w:t xml:space="preserve">9. Change Request Scenarios: </w:t>
      </w:r>
      <w:r>
        <w:rPr>
          <w:rFonts w:ascii="Arial" w:cs="Arial" w:eastAsia="Arial" w:hAnsi="Arial"/>
          <w:sz w:val="22"/>
          <w:szCs w:val="22"/>
        </w:rPr>
        <w:t xml:space="preserve">Understand that the correct approach is typically to evaluate the impact on project constraints or submit a formal change request, NOT to accept changes unilaterally or ignore them.</w:t>
      </w:r>
    </w:p>
    <w:p>
      <w:pPr>
        <w:pStyle w:val="Heading2"/>
        <w:spacing w:after="150" w:before="300"/>
      </w:pPr>
      <w:r>
        <w:rPr>
          <w:rFonts w:ascii="Arial" w:cs="Arial" w:eastAsia="Arial" w:hAnsi="Arial"/>
          <w:b/>
          <w:bCs/>
          <w:color w:val="1F4E79"/>
        </w:rPr>
        <w:t xml:space="preserve">7.3 Priority Tier 3: Worth Knowing</w:t>
      </w:r>
    </w:p>
    <w:p>
      <w:pPr>
        <w:spacing w:after="120"/>
      </w:pPr>
      <w:r>
        <w:rPr>
          <w:rFonts w:ascii="Arial" w:cs="Arial" w:eastAsia="Arial" w:hAnsi="Arial"/>
          <w:b/>
          <w:bCs/>
          <w:sz w:val="22"/>
          <w:szCs w:val="22"/>
        </w:rPr>
        <w:t xml:space="preserve">10. Project Communications Management: </w:t>
      </w:r>
      <w:r>
        <w:rPr>
          <w:rFonts w:ascii="Arial" w:cs="Arial" w:eastAsia="Arial" w:hAnsi="Arial"/>
          <w:sz w:val="22"/>
          <w:szCs w:val="22"/>
        </w:rPr>
        <w:t xml:space="preserve">Definition, four elements of a communications plan, and actions to develop one.</w:t>
      </w:r>
    </w:p>
    <w:p>
      <w:pPr>
        <w:spacing w:after="120"/>
      </w:pPr>
      <w:r>
        <w:rPr>
          <w:rFonts w:ascii="Arial" w:cs="Arial" w:eastAsia="Arial" w:hAnsi="Arial"/>
          <w:b/>
          <w:bCs/>
          <w:sz w:val="22"/>
          <w:szCs w:val="22"/>
        </w:rPr>
        <w:t xml:space="preserve">11. Stakeholder Analysis – Power/Interest Grid: </w:t>
      </w:r>
      <w:r>
        <w:rPr>
          <w:rFonts w:ascii="Arial" w:cs="Arial" w:eastAsia="Arial" w:hAnsi="Arial"/>
          <w:sz w:val="22"/>
          <w:szCs w:val="22"/>
        </w:rPr>
        <w:t xml:space="preserve">2x2 grid with four management approaches (Manage Closely, Keep Satisfied, Keep Informed, Monitor). Long gap since 2019 makes this a possible return.</w:t>
      </w:r>
    </w:p>
    <w:p>
      <w:pPr>
        <w:spacing w:after="120"/>
      </w:pPr>
      <w:r>
        <w:rPr>
          <w:rFonts w:ascii="Arial" w:cs="Arial" w:eastAsia="Arial" w:hAnsi="Arial"/>
          <w:b/>
          <w:bCs/>
          <w:sz w:val="22"/>
          <w:szCs w:val="22"/>
        </w:rPr>
        <w:t xml:space="preserve">12. Rollout/Go-Live: </w:t>
      </w:r>
      <w:r>
        <w:rPr>
          <w:rFonts w:ascii="Arial" w:cs="Arial" w:eastAsia="Arial" w:hAnsi="Arial"/>
          <w:sz w:val="22"/>
          <w:szCs w:val="22"/>
        </w:rPr>
        <w:t xml:space="preserve">Two strategies (Big Bang vs Phased), risks of each, and go-live documentation (sign-off, training materials, support/handover docs, SLA).</w:t>
      </w:r>
    </w:p>
    <w:p>
      <w:pPr>
        <w:spacing w:after="120"/>
      </w:pPr>
      <w:r>
        <w:rPr>
          <w:rFonts w:ascii="Arial" w:cs="Arial" w:eastAsia="Arial" w:hAnsi="Arial"/>
          <w:b/>
          <w:bCs/>
          <w:sz w:val="22"/>
          <w:szCs w:val="22"/>
        </w:rPr>
        <w:t xml:space="preserve">13. Business Case &amp; Project Charter: </w:t>
      </w:r>
      <w:r>
        <w:rPr>
          <w:rFonts w:ascii="Arial" w:cs="Arial" w:eastAsia="Arial" w:hAnsi="Arial"/>
          <w:sz w:val="22"/>
          <w:szCs w:val="22"/>
        </w:rPr>
        <w:t xml:space="preserve">New in 2025. Know what they contain and their purpose.</w:t>
      </w:r>
    </w:p>
    <w:p>
      <w:pPr>
        <w:spacing w:after="120"/>
      </w:pPr>
      <w:r>
        <w:rPr>
          <w:rFonts w:ascii="Arial" w:cs="Arial" w:eastAsia="Arial" w:hAnsi="Arial"/>
          <w:b/>
          <w:bCs/>
          <w:sz w:val="22"/>
          <w:szCs w:val="22"/>
        </w:rPr>
        <w:t xml:space="preserve">14. Tuckman Model: </w:t>
      </w:r>
      <w:r>
        <w:rPr>
          <w:rFonts w:ascii="Arial" w:cs="Arial" w:eastAsia="Arial" w:hAnsi="Arial"/>
          <w:sz w:val="22"/>
          <w:szCs w:val="22"/>
        </w:rPr>
        <w:t xml:space="preserve">Five stages: Forming, Storming, Norming, Performing, Adjourning.</w:t>
      </w:r>
    </w:p>
    <w:p>
      <w:pPr>
        <w:spacing w:after="120"/>
      </w:pPr>
      <w:r>
        <w:rPr>
          <w:rFonts w:ascii="Arial" w:cs="Arial" w:eastAsia="Arial" w:hAnsi="Arial"/>
          <w:b/>
          <w:bCs/>
          <w:sz w:val="22"/>
          <w:szCs w:val="22"/>
        </w:rPr>
        <w:t xml:space="preserve">15. Package-based vs Custom-built Software: </w:t>
      </w:r>
      <w:r>
        <w:rPr>
          <w:rFonts w:ascii="Arial" w:cs="Arial" w:eastAsia="Arial" w:hAnsi="Arial"/>
          <w:sz w:val="22"/>
          <w:szCs w:val="22"/>
        </w:rPr>
        <w:t xml:space="preserve">Comparison across project stages and factors to consider.</w:t>
      </w:r>
    </w:p>
    <w:p>
      <w:pPr>
        <w:pageBreakBefore/>
      </w:pPr>
      <w:r>
        <w:br/>
      </w:r>
    </w:p>
    <w:p>
      <w:pPr>
        <w:pStyle w:val="Heading1"/>
        <w:spacing w:after="150" w:before="300"/>
      </w:pPr>
      <w:r>
        <w:rPr>
          <w:rFonts w:ascii="Arial" w:cs="Arial" w:eastAsia="Arial" w:hAnsi="Arial"/>
          <w:b/>
          <w:bCs/>
          <w:color w:val="1F4E79"/>
        </w:rPr>
        <w:t xml:space="preserve">8. Exam Strategy Tips</w:t>
      </w:r>
    </w:p>
    <w:p>
      <w:pPr>
        <w:spacing w:after="120"/>
      </w:pPr>
      <w:r>
        <w:rPr>
          <w:rFonts w:ascii="Arial" w:cs="Arial" w:eastAsia="Arial" w:hAnsi="Arial"/>
          <w:b/>
          <w:bCs/>
          <w:sz w:val="22"/>
          <w:szCs w:val="22"/>
        </w:rPr>
        <w:t xml:space="preserve">Time Management: </w:t>
      </w:r>
      <w:r>
        <w:rPr>
          <w:rFonts w:ascii="Arial" w:cs="Arial" w:eastAsia="Arial" w:hAnsi="Arial"/>
          <w:sz w:val="22"/>
          <w:szCs w:val="22"/>
        </w:rPr>
        <w:t xml:space="preserve">With 2 hours for 3 compulsory questions (~100 marks), allocate roughly 40 minutes per question. Spend proportional time based on marks: a 15-mark sub-question deserves 6 minutes, an 8-mark sub-question deserves 3 minutes.</w:t>
      </w:r>
    </w:p>
    <w:p>
      <w:pPr>
        <w:spacing w:after="120"/>
      </w:pPr>
      <w:r>
        <w:rPr>
          <w:rFonts w:ascii="Arial" w:cs="Arial" w:eastAsia="Arial" w:hAnsi="Arial"/>
          <w:b/>
          <w:bCs/>
          <w:sz w:val="22"/>
          <w:szCs w:val="22"/>
        </w:rPr>
        <w:t xml:space="preserve">Scenario Questions: </w:t>
      </w:r>
      <w:r>
        <w:rPr>
          <w:rFonts w:ascii="Arial" w:cs="Arial" w:eastAsia="Arial" w:hAnsi="Arial"/>
          <w:sz w:val="22"/>
          <w:szCs w:val="22"/>
        </w:rPr>
        <w:t xml:space="preserve">These always offer 3–5 options and ask you to select the MOST appropriate and justify. The marking scheme typically gives full marks for the correct answer with justification, and partial marks for an incorrect answer with good justification. Always explain WHY other options are wrong.</w:t>
      </w:r>
    </w:p>
    <w:p>
      <w:pPr>
        <w:spacing w:after="120"/>
      </w:pPr>
      <w:r>
        <w:rPr>
          <w:rFonts w:ascii="Arial" w:cs="Arial" w:eastAsia="Arial" w:hAnsi="Arial"/>
          <w:b/>
          <w:bCs/>
          <w:sz w:val="22"/>
          <w:szCs w:val="22"/>
        </w:rPr>
        <w:t xml:space="preserve">True/False Questions: </w:t>
      </w:r>
      <w:r>
        <w:rPr>
          <w:rFonts w:ascii="Arial" w:cs="Arial" w:eastAsia="Arial" w:hAnsi="Arial"/>
          <w:sz w:val="22"/>
          <w:szCs w:val="22"/>
        </w:rPr>
        <w:t xml:space="preserve">Even when justification is “not required,” marking schemes from 2018–2019 show 2 marks per correct answer. In later papers asking for “brief justification,” write 1–2 sentences per statement. These are efficient mark earners if well-prepared.</w:t>
      </w:r>
    </w:p>
    <w:p>
      <w:pPr>
        <w:spacing w:after="120"/>
      </w:pPr>
      <w:r>
        <w:rPr>
          <w:rFonts w:ascii="Arial" w:cs="Arial" w:eastAsia="Arial" w:hAnsi="Arial"/>
          <w:b/>
          <w:bCs/>
          <w:sz w:val="22"/>
          <w:szCs w:val="22"/>
        </w:rPr>
        <w:t xml:space="preserve">Network Diagrams: </w:t>
      </w:r>
      <w:r>
        <w:rPr>
          <w:rFonts w:ascii="Arial" w:cs="Arial" w:eastAsia="Arial" w:hAnsi="Arial"/>
          <w:sz w:val="22"/>
          <w:szCs w:val="22"/>
        </w:rPr>
        <w:t xml:space="preserve">Practice is everything. Use the forward pass to calculate ES and EF, then the backward pass for LS and LF. Float = LS − ES (or LF − EF). The critical path has zero float. Practice with the exact table format used in past papers.</w:t>
      </w:r>
    </w:p>
    <w:p>
      <w:pPr>
        <w:spacing w:after="120"/>
      </w:pPr>
      <w:r>
        <w:rPr>
          <w:rFonts w:ascii="Arial" w:cs="Arial" w:eastAsia="Arial" w:hAnsi="Arial"/>
          <w:b/>
          <w:bCs/>
          <w:sz w:val="22"/>
          <w:szCs w:val="22"/>
        </w:rPr>
        <w:t xml:space="preserve">EVM Questions: </w:t>
      </w:r>
      <w:r>
        <w:rPr>
          <w:rFonts w:ascii="Arial" w:cs="Arial" w:eastAsia="Arial" w:hAnsi="Arial"/>
          <w:sz w:val="22"/>
          <w:szCs w:val="22"/>
        </w:rPr>
        <w:t xml:space="preserve">Always show your working. Calculate EV for each activity separately (% complete × PV), then sum to get total EV. Compare EV with PV (schedule) and EV with AC (cost). This is mechanical and worth 10–15 marks.</w:t>
      </w:r>
    </w:p>
    <w:p>
      <w:pPr>
        <w:spacing w:after="120"/>
      </w:pPr>
      <w:r>
        <w:rPr>
          <w:rFonts w:ascii="Arial" w:cs="Arial" w:eastAsia="Arial" w:hAnsi="Arial"/>
          <w:b/>
          <w:bCs/>
          <w:sz w:val="22"/>
          <w:szCs w:val="22"/>
        </w:rPr>
        <w:t xml:space="preserve">Bookwork vs Application: </w:t>
      </w:r>
      <w:r>
        <w:rPr>
          <w:rFonts w:ascii="Arial" w:cs="Arial" w:eastAsia="Arial" w:hAnsi="Arial"/>
          <w:sz w:val="22"/>
          <w:szCs w:val="22"/>
        </w:rPr>
        <w:t xml:space="preserve">The exam is approximately 50% bookwork (definitions, processes you can memorise) and 50% application (scenarios, calculations, diagrams). Ensure you can both recall concepts AND apply them to novel situations.</w:t>
      </w:r>
    </w:p>
    <w:p>
      <w:pPr>
        <w:pageBreakBefore/>
      </w:pPr>
      <w:r>
        <w:br/>
      </w:r>
    </w:p>
    <w:p>
      <w:pPr>
        <w:pStyle w:val="Heading1"/>
        <w:spacing w:after="150" w:before="300"/>
      </w:pPr>
      <w:r>
        <w:rPr>
          <w:rFonts w:ascii="Arial" w:cs="Arial" w:eastAsia="Arial" w:hAnsi="Arial"/>
          <w:b/>
          <w:bCs/>
          <w:color w:val="1F4E79"/>
        </w:rPr>
        <w:t xml:space="preserve">Appendix: Detailed Question-by-Question Breakdown</w:t>
      </w:r>
    </w:p>
    <w:p>
      <w:pPr>
        <w:pStyle w:val="Heading2"/>
        <w:spacing w:after="150" w:before="300"/>
      </w:pPr>
      <w:r>
        <w:rPr>
          <w:rFonts w:ascii="Arial" w:cs="Arial" w:eastAsia="Arial" w:hAnsi="Arial"/>
          <w:b/>
          <w:bCs/>
          <w:color w:val="1F4E79"/>
        </w:rPr>
        <w:t xml:space="preserve">A.1 May 2018 Paper (Answer 3 of 4)</w:t>
      </w:r>
    </w:p>
    <w:p>
      <w:pPr>
        <w:spacing w:after="120"/>
      </w:pPr>
      <w:r>
        <w:rPr>
          <w:rFonts w:ascii="Arial" w:cs="Arial" w:eastAsia="Arial" w:hAnsi="Arial"/>
          <w:sz w:val="22"/>
          <w:szCs w:val="22"/>
        </w:rPr>
        <w:t xml:space="preserve">Q1: (a) Config mgmt True/False [10], (b) Contingency vs Management reserves [6], (c) Actions to recover delayed project [6], (d) Package-based software advantages [7], (e) First task with scope statement [5]</w:t>
      </w:r>
    </w:p>
    <w:p>
      <w:pPr>
        <w:spacing w:after="120"/>
      </w:pPr>
      <w:r>
        <w:rPr>
          <w:rFonts w:ascii="Arial" w:cs="Arial" w:eastAsia="Arial" w:hAnsi="Arial"/>
          <w:sz w:val="22"/>
          <w:szCs w:val="22"/>
        </w:rPr>
        <w:t xml:space="preserve">Q2: (a) Communications management definition + plan + actions [11], (b) Network diagram [7+2], Gantt chart [4+4], (c) QA vs PA [6]</w:t>
      </w:r>
    </w:p>
    <w:p>
      <w:pPr>
        <w:spacing w:after="120"/>
      </w:pPr>
      <w:r>
        <w:rPr>
          <w:rFonts w:ascii="Arial" w:cs="Arial" w:eastAsia="Arial" w:hAnsi="Arial"/>
          <w:sz w:val="22"/>
          <w:szCs w:val="22"/>
        </w:rPr>
        <w:t xml:space="preserve">Q3: (a) EV and CPI calculation [6+4], (b) System architecture before requirements [7], (c) IT Project characteristics [9], (d) Ineffective team factors [8]</w:t>
      </w:r>
    </w:p>
    <w:p>
      <w:pPr>
        <w:spacing w:after="120"/>
      </w:pPr>
      <w:r>
        <w:rPr>
          <w:rFonts w:ascii="Arial" w:cs="Arial" w:eastAsia="Arial" w:hAnsi="Arial"/>
          <w:sz w:val="22"/>
          <w:szCs w:val="22"/>
        </w:rPr>
        <w:t xml:space="preserve">Q4: (a) Conflict resolution scenario [6], (b) Risk management process diagram [12], (c) Rollout/go-live documentation [9], (d) Project progress report content [7]</w:t>
      </w:r>
    </w:p>
    <w:p>
      <w:pPr>
        <w:pStyle w:val="Heading2"/>
        <w:spacing w:after="150" w:before="300"/>
      </w:pPr>
      <w:r>
        <w:rPr>
          <w:rFonts w:ascii="Arial" w:cs="Arial" w:eastAsia="Arial" w:hAnsi="Arial"/>
          <w:b/>
          <w:bCs/>
          <w:color w:val="1F4E79"/>
        </w:rPr>
        <w:t xml:space="preserve">A.2 May 2019 Paper (Answer 3 of 4)</w:t>
      </w:r>
    </w:p>
    <w:p>
      <w:pPr>
        <w:spacing w:after="120"/>
      </w:pPr>
      <w:r>
        <w:rPr>
          <w:rFonts w:ascii="Arial" w:cs="Arial" w:eastAsia="Arial" w:hAnsi="Arial"/>
          <w:sz w:val="22"/>
          <w:szCs w:val="22"/>
        </w:rPr>
        <w:t xml:space="preserve">Q1: (a) TCO calculation for Package A [10+6], (b) QA vs PA [6], (c) Rollout strategies + risks [12]</w:t>
      </w:r>
    </w:p>
    <w:p>
      <w:pPr>
        <w:spacing w:after="120"/>
      </w:pPr>
      <w:r>
        <w:rPr>
          <w:rFonts w:ascii="Arial" w:cs="Arial" w:eastAsia="Arial" w:hAnsi="Arial"/>
          <w:sz w:val="22"/>
          <w:szCs w:val="22"/>
        </w:rPr>
        <w:t xml:space="preserve">Q2: (a) True/False on WBS, change requests, parametric estimation [10], (b) Network diagram [11+4], (c) Delphi method disadvantages [9]</w:t>
      </w:r>
    </w:p>
    <w:p>
      <w:pPr>
        <w:spacing w:after="120"/>
      </w:pPr>
      <w:r>
        <w:rPr>
          <w:rFonts w:ascii="Arial" w:cs="Arial" w:eastAsia="Arial" w:hAnsi="Arial"/>
          <w:sz w:val="22"/>
          <w:szCs w:val="22"/>
        </w:rPr>
        <w:t xml:space="preserve">Q3: (a) Package-based vs custom-built comparison table [12], (b) Project meeting types [8], (c) Risk Management Plan [6], (d) Stakeholder Power/Interest grid [8]</w:t>
      </w:r>
    </w:p>
    <w:p>
      <w:pPr>
        <w:spacing w:after="120"/>
      </w:pPr>
      <w:r>
        <w:rPr>
          <w:rFonts w:ascii="Arial" w:cs="Arial" w:eastAsia="Arial" w:hAnsi="Arial"/>
          <w:sz w:val="22"/>
          <w:szCs w:val="22"/>
        </w:rPr>
        <w:t xml:space="preserve">Q4: (a) Conflict resolution [8], (b) Package vs custom-built factors [10], (c) CPI/SPI interpretation [7], (d) Configuration Management activities [9]</w:t>
      </w:r>
    </w:p>
    <w:p>
      <w:pPr>
        <w:pStyle w:val="Heading2"/>
        <w:spacing w:after="150" w:before="300"/>
      </w:pPr>
      <w:r>
        <w:rPr>
          <w:rFonts w:ascii="Arial" w:cs="Arial" w:eastAsia="Arial" w:hAnsi="Arial"/>
          <w:b/>
          <w:bCs/>
          <w:color w:val="1F4E79"/>
        </w:rPr>
        <w:t xml:space="preserve">A.3 2020 Sample Paper (Answer ALL)</w:t>
      </w:r>
    </w:p>
    <w:p>
      <w:pPr>
        <w:spacing w:after="120"/>
      </w:pPr>
      <w:r>
        <w:rPr>
          <w:rFonts w:ascii="Arial" w:cs="Arial" w:eastAsia="Arial" w:hAnsi="Arial"/>
          <w:sz w:val="22"/>
          <w:szCs w:val="22"/>
        </w:rPr>
        <w:t xml:space="preserve">Q1: (a) Risk management True/False [12], (b) Risk treatment actions [10], (c) Stakeholder management scenario [6], (d) Project vs programme definition [6]</w:t>
      </w:r>
    </w:p>
    <w:p>
      <w:pPr>
        <w:spacing w:after="120"/>
      </w:pPr>
      <w:r>
        <w:rPr>
          <w:rFonts w:ascii="Arial" w:cs="Arial" w:eastAsia="Arial" w:hAnsi="Arial"/>
          <w:sz w:val="22"/>
          <w:szCs w:val="22"/>
        </w:rPr>
        <w:t xml:space="preserve">Q2: (a) Config mgmt definitions [9], (b) TCO calculation for RDBMS [10+6], (c) Requirements elicitation methods [8]</w:t>
      </w:r>
    </w:p>
    <w:p>
      <w:pPr>
        <w:spacing w:after="120"/>
      </w:pPr>
      <w:r>
        <w:rPr>
          <w:rFonts w:ascii="Arial" w:cs="Arial" w:eastAsia="Arial" w:hAnsi="Arial"/>
          <w:sz w:val="22"/>
          <w:szCs w:val="22"/>
        </w:rPr>
        <w:t xml:space="preserve">Q3: (a) Network diagram [10+3], (b) Kick-off meeting presentation [10], (c) Change management process diagram [10]</w:t>
      </w:r>
    </w:p>
    <w:p>
      <w:pPr>
        <w:pStyle w:val="Heading2"/>
        <w:spacing w:after="150" w:before="300"/>
      </w:pPr>
      <w:r>
        <w:rPr>
          <w:rFonts w:ascii="Arial" w:cs="Arial" w:eastAsia="Arial" w:hAnsi="Arial"/>
          <w:b/>
          <w:bCs/>
          <w:color w:val="1F4E79"/>
        </w:rPr>
        <w:t xml:space="preserve">A.4 2023 Paper (Answer ALL)</w:t>
      </w:r>
    </w:p>
    <w:p>
      <w:pPr>
        <w:spacing w:after="120"/>
      </w:pPr>
      <w:r>
        <w:rPr>
          <w:rFonts w:ascii="Arial" w:cs="Arial" w:eastAsia="Arial" w:hAnsi="Arial"/>
          <w:sz w:val="22"/>
          <w:szCs w:val="22"/>
        </w:rPr>
        <w:t xml:space="preserve">Q1: (a) Contingency vs management reserves [10], (b) EVM calculation [15], (c) Progress reporting to SC [9]</w:t>
      </w:r>
    </w:p>
    <w:p>
      <w:pPr>
        <w:spacing w:after="120"/>
      </w:pPr>
      <w:r>
        <w:rPr>
          <w:rFonts w:ascii="Arial" w:cs="Arial" w:eastAsia="Arial" w:hAnsi="Arial"/>
          <w:sz w:val="22"/>
          <w:szCs w:val="22"/>
        </w:rPr>
        <w:t xml:space="preserve">Q2: (a) Risk-related True/False [10], (b) Network diagram [9+4], (c) Rollout strategies + risks [10]</w:t>
      </w:r>
    </w:p>
    <w:p>
      <w:pPr>
        <w:spacing w:after="120"/>
      </w:pPr>
      <w:r>
        <w:rPr>
          <w:rFonts w:ascii="Arial" w:cs="Arial" w:eastAsia="Arial" w:hAnsi="Arial"/>
          <w:sz w:val="22"/>
          <w:szCs w:val="22"/>
        </w:rPr>
        <w:t xml:space="preserve">Q3: (a) QA vs PA [8], (b) Contract schedule change scenario [8], (c) Conflict resolution [8], (d) Go-live documentation [9]</w:t>
      </w:r>
    </w:p>
    <w:p>
      <w:pPr>
        <w:pStyle w:val="Heading2"/>
        <w:spacing w:after="150" w:before="300"/>
      </w:pPr>
      <w:r>
        <w:rPr>
          <w:rFonts w:ascii="Arial" w:cs="Arial" w:eastAsia="Arial" w:hAnsi="Arial"/>
          <w:b/>
          <w:bCs/>
          <w:color w:val="1F4E79"/>
        </w:rPr>
        <w:t xml:space="preserve">A.5 2024 Paper (Answer ALL)</w:t>
      </w:r>
    </w:p>
    <w:p>
      <w:pPr>
        <w:spacing w:after="120"/>
      </w:pPr>
      <w:r>
        <w:rPr>
          <w:rFonts w:ascii="Arial" w:cs="Arial" w:eastAsia="Arial" w:hAnsi="Arial"/>
          <w:sz w:val="22"/>
          <w:szCs w:val="22"/>
        </w:rPr>
        <w:t xml:space="preserve">Q1: (a) True/False on change requests, estimation, scope, config mgmt [12], (b) Product quality vs process quality [4], (c) Change request scenario [10], (d) Risk management process diagram [8]</w:t>
      </w:r>
    </w:p>
    <w:p>
      <w:pPr>
        <w:spacing w:after="120"/>
      </w:pPr>
      <w:r>
        <w:rPr>
          <w:rFonts w:ascii="Arial" w:cs="Arial" w:eastAsia="Arial" w:hAnsi="Arial"/>
          <w:sz w:val="22"/>
          <w:szCs w:val="22"/>
        </w:rPr>
        <w:t xml:space="preserve">Q2: (a) EVM calculation [10], (b) Network diagram [9+2], (c) Communications management [4+4+4]</w:t>
      </w:r>
    </w:p>
    <w:p>
      <w:pPr>
        <w:spacing w:after="120"/>
      </w:pPr>
      <w:r>
        <w:rPr>
          <w:rFonts w:ascii="Arial" w:cs="Arial" w:eastAsia="Arial" w:hAnsi="Arial"/>
          <w:sz w:val="22"/>
          <w:szCs w:val="22"/>
        </w:rPr>
        <w:t xml:space="preserve">Q3: (a) TCO calculation [13], (b) Tuckman model [10], (c) Scope creep/gold plating scenario [10]</w:t>
      </w:r>
    </w:p>
    <w:p>
      <w:pPr>
        <w:pStyle w:val="Heading2"/>
        <w:spacing w:after="150" w:before="300"/>
      </w:pPr>
      <w:r>
        <w:rPr>
          <w:rFonts w:ascii="Arial" w:cs="Arial" w:eastAsia="Arial" w:hAnsi="Arial"/>
          <w:b/>
          <w:bCs/>
          <w:color w:val="1F4E79"/>
        </w:rPr>
        <w:t xml:space="preserve">A.6 2025 Paper (Answer ALL)</w:t>
      </w:r>
    </w:p>
    <w:p>
      <w:pPr>
        <w:spacing w:after="120"/>
      </w:pPr>
      <w:r>
        <w:rPr>
          <w:rFonts w:ascii="Arial" w:cs="Arial" w:eastAsia="Arial" w:hAnsi="Arial"/>
          <w:sz w:val="22"/>
          <w:szCs w:val="22"/>
        </w:rPr>
        <w:t xml:space="preserve">Q1: (a) Project Charter [8], (b) Change request for delayed project [8], (c) EVM calculation [10], (d) Risk Management Plan [8]</w:t>
      </w:r>
    </w:p>
    <w:p>
      <w:pPr>
        <w:spacing w:after="120"/>
      </w:pPr>
      <w:r>
        <w:rPr>
          <w:rFonts w:ascii="Arial" w:cs="Arial" w:eastAsia="Arial" w:hAnsi="Arial"/>
          <w:sz w:val="22"/>
          <w:szCs w:val="22"/>
        </w:rPr>
        <w:t xml:space="preserve">Q2: (a) Unanticipated risks funding scenario [12], (b) Network diagram [10+3], (c) Baselines True/False [8]</w:t>
      </w:r>
    </w:p>
    <w:p>
      <w:pPr>
        <w:spacing w:after="120"/>
      </w:pPr>
      <w:r>
        <w:rPr>
          <w:rFonts w:ascii="Arial" w:cs="Arial" w:eastAsia="Arial" w:hAnsi="Arial"/>
          <w:sz w:val="22"/>
          <w:szCs w:val="22"/>
        </w:rPr>
        <w:t xml:space="preserve">Q3: (a) True/False on issue log, Delphi, change requests, config items [8], (b) Package-based software advantages [7], (c) Business Case document [10], (d) Conflict resolution [8]</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506"/>
      </w:tabs>
    </w:pPr>
    <w:r>
      <w:rPr>
        <w:rFonts w:ascii="Arial" w:cs="Arial" w:eastAsia="Arial" w:hAnsi="Arial"/>
        <w:i/>
        <w:iCs/>
        <w:color w:val="999999"/>
        <w:sz w:val="16"/>
        <w:szCs w:val="16"/>
      </w:rPr>
      <w:t xml:space="preserve">Confidential – For Revision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200"/>
    </w:pPr>
    <w:r>
      <w:rPr>
        <w:rFonts w:ascii="Arial" w:cs="Arial" w:eastAsia="Arial" w:hAnsi="Arial"/>
        <w:b/>
        <w:bCs/>
        <w:color w:val="2E75B6"/>
        <w:sz w:val="18"/>
        <w:szCs w:val="18"/>
      </w:rPr>
      <w:t xml:space="preserve">CS3003: IT Project Management</w:t>
    </w:r>
    <w:r>
      <w:rPr>
        <w:rFonts w:ascii="Arial" w:cs="Arial" w:eastAsia="Arial" w:hAnsi="Arial"/>
        <w:color w:val="666666"/>
        <w:sz w:val="18"/>
        <w:szCs w:val="18"/>
      </w:rPr>
      <w:t xml:space="preserve">  |  Comprehensive Exam Analysis 2018–2025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2026-04-05T23:39:18.376Z</dcterms:created>
  <dcterms:modified xsi:type="dcterms:W3CDTF">2026-04-05T23:39:18.377Z</dcterms:modified>
</cp:coreProperties>
</file>

<file path=docProps/custom.xml><?xml version="1.0" encoding="utf-8"?>
<Properties xmlns="http://schemas.openxmlformats.org/officeDocument/2006/custom-properties" xmlns:vt="http://schemas.openxmlformats.org/officeDocument/2006/docPropsVTypes"/>
</file>