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EB33F0F">
      <w:pPr>
        <w:spacing w:after="20"/>
        <w:jc w:val="center"/>
      </w:pPr>
      <w:r>
        <w:rPr>
          <w:rFonts w:ascii="Calibri" w:hAnsi="Calibri" w:eastAsia="Calibri" w:cs="Calibri"/>
          <w:b/>
          <w:bCs/>
          <w:color w:val="1F4E79"/>
          <w:sz w:val="30"/>
          <w:szCs w:val="30"/>
        </w:rPr>
        <w:t>Collaborative Perception for V2X Communication on the NXP i.MX 8M Plus</w:t>
      </w:r>
    </w:p>
    <w:p w14:paraId="732271D3">
      <w:pPr>
        <w:spacing w:after="80"/>
        <w:jc w:val="center"/>
      </w:pPr>
      <w:r>
        <w:rPr>
          <w:rFonts w:ascii="Calibri" w:hAnsi="Calibri" w:eastAsia="Calibri" w:cs="Calibri"/>
          <w:i/>
          <w:iCs/>
          <w:color w:val="595959"/>
          <w:sz w:val="18"/>
          <w:szCs w:val="18"/>
        </w:rPr>
        <w:t>Project Proposal (Topic 11)  |  Team: [</w:t>
      </w:r>
      <w:r>
        <w:rPr>
          <w:rFonts w:hint="default" w:ascii="Calibri" w:hAnsi="Calibri" w:eastAsia="Calibri" w:cs="Calibri"/>
          <w:i/>
          <w:iCs/>
          <w:color w:val="595959"/>
          <w:sz w:val="18"/>
          <w:szCs w:val="18"/>
          <w:lang w:val="ro-RO"/>
        </w:rPr>
        <w:t>Amanolesei &amp; Nicsan</w:t>
      </w:r>
      <w:r>
        <w:rPr>
          <w:rFonts w:ascii="Calibri" w:hAnsi="Calibri" w:eastAsia="Calibri" w:cs="Calibri"/>
          <w:i/>
          <w:iCs/>
          <w:color w:val="595959"/>
          <w:sz w:val="18"/>
          <w:szCs w:val="18"/>
        </w:rPr>
        <w:t>]  |  Due: 13 October 2026, 16:00</w:t>
      </w:r>
    </w:p>
    <w:p w14:paraId="7089C0E7">
      <w:pPr>
        <w:keepNext/>
        <w:pBdr>
          <w:bottom w:val="single" w:color="1F4E79" w:sz="6" w:space="1"/>
        </w:pBdr>
        <w:spacing w:before="110" w:after="50"/>
      </w:pPr>
      <w:r>
        <w:rPr>
          <w:rFonts w:ascii="Calibri" w:hAnsi="Calibri" w:eastAsia="Calibri" w:cs="Calibri"/>
          <w:b/>
          <w:bCs/>
          <w:color w:val="1F4E79"/>
          <w:sz w:val="23"/>
          <w:szCs w:val="23"/>
        </w:rPr>
        <w:t>1. Introduction, Project Scope and the Role of Edge AI</w:t>
      </w:r>
    </w:p>
    <w:p w14:paraId="794C169B">
      <w:pPr>
        <w:spacing w:after="60" w:line="245" w:lineRule="auto"/>
        <w:jc w:val="both"/>
      </w:pPr>
      <w:r>
        <w:rPr>
          <w:rFonts w:ascii="Calibri" w:hAnsi="Calibri" w:eastAsia="Calibri" w:cs="Calibri"/>
          <w:sz w:val="19"/>
          <w:szCs w:val="19"/>
        </w:rPr>
        <w:t xml:space="preserve">Perception is the foundation of autonomous driving, but a single vehicle sees only what its own sensors can reach: buildings, trucks and other cars create </w:t>
      </w:r>
      <w:r>
        <w:rPr>
          <w:rFonts w:ascii="Calibri" w:hAnsi="Calibri" w:eastAsia="Calibri" w:cs="Calibri"/>
          <w:b/>
          <w:bCs/>
          <w:sz w:val="19"/>
          <w:szCs w:val="19"/>
        </w:rPr>
        <w:t>occlusions</w:t>
      </w:r>
      <w:r>
        <w:rPr>
          <w:rFonts w:ascii="Calibri" w:hAnsi="Calibri" w:eastAsia="Calibri" w:cs="Calibri"/>
          <w:sz w:val="19"/>
          <w:szCs w:val="19"/>
        </w:rPr>
        <w:t xml:space="preserve"> and range is limited. </w:t>
      </w:r>
      <w:r>
        <w:rPr>
          <w:rFonts w:ascii="Calibri" w:hAnsi="Calibri" w:eastAsia="Calibri" w:cs="Calibri"/>
          <w:b/>
          <w:bCs/>
          <w:sz w:val="19"/>
          <w:szCs w:val="19"/>
        </w:rPr>
        <w:t>Collaborative perception</w:t>
      </w:r>
      <w:r>
        <w:rPr>
          <w:rFonts w:ascii="Calibri" w:hAnsi="Calibri" w:eastAsia="Calibri" w:cs="Calibri"/>
          <w:sz w:val="19"/>
          <w:szCs w:val="19"/>
        </w:rPr>
        <w:t xml:space="preserve"> lets vehicles and roadside units (RSUs) exchange sensor-derived information over V2X links so each agent obtains a more complete view of the scene than any agent alone.</w:t>
      </w:r>
    </w:p>
    <w:p w14:paraId="726C4137">
      <w:pPr>
        <w:spacing w:after="60" w:line="245" w:lineRule="auto"/>
        <w:jc w:val="both"/>
      </w:pPr>
      <w:r>
        <w:rPr>
          <w:rFonts w:ascii="Calibri" w:hAnsi="Calibri" w:eastAsia="Calibri" w:cs="Calibri"/>
          <w:b/>
          <w:bCs/>
          <w:sz w:val="19"/>
          <w:szCs w:val="19"/>
        </w:rPr>
        <w:t xml:space="preserve">Role of Edge AI. </w:t>
      </w:r>
      <w:r>
        <w:rPr>
          <w:rFonts w:ascii="Calibri" w:hAnsi="Calibri" w:eastAsia="Calibri" w:cs="Calibri"/>
          <w:sz w:val="19"/>
          <w:szCs w:val="19"/>
        </w:rPr>
        <w:t xml:space="preserve">Sending raw data to the cloud is too slow and bandwidth-hungry for safety-critical decisions (detection must be completed in tens of milliseconds), and it raises privacy and connectivity concerns. Running inference </w:t>
      </w:r>
      <w:r>
        <w:rPr>
          <w:rFonts w:ascii="Calibri" w:hAnsi="Calibri" w:eastAsia="Calibri" w:cs="Calibri"/>
          <w:b/>
          <w:bCs/>
          <w:sz w:val="19"/>
          <w:szCs w:val="19"/>
        </w:rPr>
        <w:t>on the vehicle/RSU itself</w:t>
      </w:r>
      <w:r>
        <w:rPr>
          <w:rFonts w:ascii="Calibri" w:hAnsi="Calibri" w:eastAsia="Calibri" w:cs="Calibri"/>
          <w:sz w:val="19"/>
          <w:szCs w:val="19"/>
        </w:rPr>
        <w:t xml:space="preserve"> gives low and predictable latency, reduces the data that has to be transmitted and keeps working when the network is degraded. The challenge is to do this within the compute, memory and power limits of embedded hardware.</w:t>
      </w:r>
    </w:p>
    <w:p w14:paraId="7B9ED419">
      <w:pPr>
        <w:spacing w:after="60" w:line="245" w:lineRule="auto"/>
        <w:jc w:val="both"/>
      </w:pPr>
      <w:r>
        <w:rPr>
          <w:rFonts w:ascii="Calibri" w:hAnsi="Calibri" w:eastAsia="Calibri" w:cs="Calibri"/>
          <w:b/>
          <w:bCs/>
          <w:sz w:val="19"/>
          <w:szCs w:val="19"/>
        </w:rPr>
        <w:t xml:space="preserve">Platform. </w:t>
      </w:r>
      <w:r>
        <w:rPr>
          <w:rFonts w:ascii="Calibri" w:hAnsi="Calibri" w:eastAsia="Calibri" w:cs="Calibri"/>
          <w:sz w:val="19"/>
          <w:szCs w:val="19"/>
        </w:rPr>
        <w:t>NXP i.MX 8M Plus (PEVK): 4x Cortex-A53, a Cortex-M7, a 2.3 TOPS neural processing unit (NPU), dual ISP/camera inputs, Gigabit Ethernet with TSN and CAN-FD. We use the NXP eIQ toolkit (TensorFlow Lite with the VX delegate / ONNX Runtime) to run quantized models on the NPU.</w:t>
      </w:r>
    </w:p>
    <w:p w14:paraId="6B14E81F">
      <w:pPr>
        <w:spacing w:after="60" w:line="245" w:lineRule="auto"/>
        <w:jc w:val="both"/>
      </w:pPr>
      <w:r>
        <w:rPr>
          <w:rFonts w:ascii="Calibri" w:hAnsi="Calibri" w:eastAsia="Calibri" w:cs="Calibri"/>
          <w:b/>
          <w:bCs/>
          <w:sz w:val="19"/>
          <w:szCs w:val="19"/>
        </w:rPr>
        <w:t xml:space="preserve">Scope. </w:t>
      </w:r>
      <w:r>
        <w:rPr>
          <w:rFonts w:ascii="Calibri" w:hAnsi="Calibri" w:eastAsia="Calibri" w:cs="Calibri"/>
          <w:sz w:val="19"/>
          <w:szCs w:val="19"/>
        </w:rPr>
        <w:t xml:space="preserve">We will build and evaluate a proof-of-concept in which the i.MX 8M Plus acts as the </w:t>
      </w:r>
      <w:r>
        <w:rPr>
          <w:rFonts w:ascii="Calibri" w:hAnsi="Calibri" w:eastAsia="Calibri" w:cs="Calibri"/>
          <w:b/>
          <w:bCs/>
          <w:sz w:val="19"/>
          <w:szCs w:val="19"/>
        </w:rPr>
        <w:t>ego-vehicle edge node</w:t>
      </w:r>
      <w:r>
        <w:rPr>
          <w:rFonts w:ascii="Calibri" w:hAnsi="Calibri" w:eastAsia="Calibri" w:cs="Calibri"/>
          <w:sz w:val="19"/>
          <w:szCs w:val="19"/>
        </w:rPr>
        <w:t>. It runs a lightweight, INT8-quantized perception model, receives compressed intermediate features from a second agent (a PC process or second board replaying the dataset; V2X radio hardware is out of scope and emulated over Ethernet/Wi-Fi with controllable bandwidth, latency and packet loss), fuses them with its own features and outputs 3D/BEV object detections. Development and evaluation use public datasets (OPV2V, V2X-Sim); full-scale training of large models and real-vehicle tests are out of scope.</w:t>
      </w:r>
    </w:p>
    <w:p w14:paraId="25B91E86">
      <w:pPr>
        <w:keepNext/>
        <w:pBdr>
          <w:bottom w:val="single" w:color="1F4E79" w:sz="6" w:space="1"/>
        </w:pBdr>
        <w:spacing w:before="110" w:after="50"/>
      </w:pPr>
      <w:r>
        <w:rPr>
          <w:rFonts w:ascii="Calibri" w:hAnsi="Calibri" w:eastAsia="Calibri" w:cs="Calibri"/>
          <w:b/>
          <w:bCs/>
          <w:color w:val="1F4E79"/>
          <w:sz w:val="23"/>
          <w:szCs w:val="23"/>
        </w:rPr>
        <w:t>2. Challenges in Traditional Practices</w:t>
      </w:r>
    </w:p>
    <w:p w14:paraId="2122D9E3">
      <w:pPr>
        <w:pStyle w:val="16"/>
        <w:numPr>
          <w:ilvl w:val="0"/>
          <w:numId w:val="1"/>
        </w:numPr>
        <w:spacing w:after="30" w:line="240" w:lineRule="auto"/>
        <w:jc w:val="both"/>
      </w:pPr>
      <w:r>
        <w:rPr>
          <w:rFonts w:ascii="Calibri" w:hAnsi="Calibri" w:eastAsia="Calibri" w:cs="Calibri"/>
          <w:b/>
          <w:bCs/>
          <w:sz w:val="19"/>
          <w:szCs w:val="19"/>
        </w:rPr>
        <w:t xml:space="preserve">Single-agent perception: </w:t>
      </w:r>
      <w:r>
        <w:rPr>
          <w:rFonts w:ascii="Calibri" w:hAnsi="Calibri" w:eastAsia="Calibri" w:cs="Calibri"/>
          <w:sz w:val="19"/>
          <w:szCs w:val="19"/>
        </w:rPr>
        <w:t>occlusions, blind spots and limited sensing range cause missed detections, especially at intersections.</w:t>
      </w:r>
    </w:p>
    <w:p w14:paraId="4E050CE0">
      <w:pPr>
        <w:pStyle w:val="16"/>
        <w:numPr>
          <w:ilvl w:val="0"/>
          <w:numId w:val="1"/>
        </w:numPr>
        <w:spacing w:after="30" w:line="240" w:lineRule="auto"/>
        <w:jc w:val="both"/>
      </w:pPr>
      <w:r>
        <w:rPr>
          <w:rFonts w:ascii="Calibri" w:hAnsi="Calibri" w:eastAsia="Calibri" w:cs="Calibri"/>
          <w:b/>
          <w:bCs/>
          <w:sz w:val="19"/>
          <w:szCs w:val="19"/>
        </w:rPr>
        <w:t xml:space="preserve">Cloud-centric processing: </w:t>
      </w:r>
      <w:r>
        <w:rPr>
          <w:rFonts w:ascii="Calibri" w:hAnsi="Calibri" w:eastAsia="Calibri" w:cs="Calibri"/>
          <w:sz w:val="19"/>
          <w:szCs w:val="19"/>
        </w:rPr>
        <w:t>round-trip latency, bandwidth costs and dependence on connectivity are incompatible with real-time safety functions.</w:t>
      </w:r>
    </w:p>
    <w:p w14:paraId="75E6AFDB">
      <w:pPr>
        <w:pStyle w:val="16"/>
        <w:numPr>
          <w:ilvl w:val="0"/>
          <w:numId w:val="1"/>
        </w:numPr>
        <w:spacing w:after="30" w:line="240" w:lineRule="auto"/>
        <w:jc w:val="both"/>
      </w:pPr>
      <w:r>
        <w:rPr>
          <w:rFonts w:ascii="Calibri" w:hAnsi="Calibri" w:eastAsia="Calibri" w:cs="Calibri"/>
          <w:b/>
          <w:bCs/>
          <w:sz w:val="19"/>
          <w:szCs w:val="19"/>
        </w:rPr>
        <w:t xml:space="preserve">Early/late fusion trade-off: </w:t>
      </w:r>
      <w:r>
        <w:rPr>
          <w:rFonts w:ascii="Calibri" w:hAnsi="Calibri" w:eastAsia="Calibri" w:cs="Calibri"/>
          <w:sz w:val="19"/>
          <w:szCs w:val="19"/>
        </w:rPr>
        <w:t>sharing raw point clouds/images needs far more bandwidth than V2X links offer, while sharing only final detections discards information and performs worse.</w:t>
      </w:r>
    </w:p>
    <w:p w14:paraId="5EB2BFC8">
      <w:pPr>
        <w:pStyle w:val="16"/>
        <w:numPr>
          <w:ilvl w:val="0"/>
          <w:numId w:val="1"/>
        </w:numPr>
        <w:spacing w:after="30" w:line="240" w:lineRule="auto"/>
        <w:jc w:val="both"/>
      </w:pPr>
      <w:r>
        <w:rPr>
          <w:rFonts w:ascii="Calibri" w:hAnsi="Calibri" w:eastAsia="Calibri" w:cs="Calibri"/>
          <w:b/>
          <w:bCs/>
          <w:sz w:val="19"/>
          <w:szCs w:val="19"/>
        </w:rPr>
        <w:t xml:space="preserve">Real-world imperfections: </w:t>
      </w:r>
      <w:r>
        <w:rPr>
          <w:rFonts w:ascii="Calibri" w:hAnsi="Calibri" w:eastAsia="Calibri" w:cs="Calibri"/>
          <w:sz w:val="19"/>
          <w:szCs w:val="19"/>
        </w:rPr>
        <w:t>communication delay, asynchronous sensors, pose/localization errors and packet loss degrade fusion quality.</w:t>
      </w:r>
    </w:p>
    <w:p w14:paraId="5CC4C440">
      <w:pPr>
        <w:pStyle w:val="16"/>
        <w:numPr>
          <w:ilvl w:val="0"/>
          <w:numId w:val="1"/>
        </w:numPr>
        <w:spacing w:after="30" w:line="240" w:lineRule="auto"/>
        <w:jc w:val="both"/>
      </w:pPr>
      <w:r>
        <w:rPr>
          <w:rFonts w:ascii="Calibri" w:hAnsi="Calibri" w:eastAsia="Calibri" w:cs="Calibri"/>
          <w:b/>
          <w:bCs/>
          <w:sz w:val="19"/>
          <w:szCs w:val="19"/>
        </w:rPr>
        <w:t xml:space="preserve">Embedded constraints: </w:t>
      </w:r>
      <w:r>
        <w:rPr>
          <w:rFonts w:ascii="Calibri" w:hAnsi="Calibri" w:eastAsia="Calibri" w:cs="Calibri"/>
          <w:sz w:val="19"/>
          <w:szCs w:val="19"/>
        </w:rPr>
        <w:t>state-of-the-art models (e.g. transformer-based fusion) are heavy, and operators such as attention may be unsupported or slow on the NPU, so models must be simplified, quantized and profiled on target.</w:t>
      </w:r>
    </w:p>
    <w:p w14:paraId="1C7384D1">
      <w:pPr>
        <w:keepNext/>
        <w:pBdr>
          <w:bottom w:val="single" w:color="1F4E79" w:sz="6" w:space="1"/>
        </w:pBdr>
        <w:spacing w:before="110" w:after="50"/>
      </w:pPr>
      <w:r>
        <w:rPr>
          <w:rFonts w:ascii="Calibri" w:hAnsi="Calibri" w:eastAsia="Calibri" w:cs="Calibri"/>
          <w:b/>
          <w:bCs/>
          <w:color w:val="1F4E79"/>
          <w:sz w:val="23"/>
          <w:szCs w:val="23"/>
        </w:rPr>
        <w:t>3. Problem Statement and Goals</w:t>
      </w:r>
    </w:p>
    <w:p w14:paraId="4664663D">
      <w:pPr>
        <w:spacing w:after="60" w:line="245" w:lineRule="auto"/>
        <w:jc w:val="both"/>
      </w:pPr>
      <w:r>
        <w:rPr>
          <w:rFonts w:ascii="Calibri" w:hAnsi="Calibri" w:eastAsia="Calibri" w:cs="Calibri"/>
          <w:b/>
          <w:bCs/>
          <w:sz w:val="19"/>
          <w:szCs w:val="19"/>
        </w:rPr>
        <w:t xml:space="preserve">Problem statement: </w:t>
      </w:r>
      <w:r>
        <w:rPr>
          <w:rFonts w:ascii="Calibri" w:hAnsi="Calibri" w:eastAsia="Calibri" w:cs="Calibri"/>
          <w:sz w:val="19"/>
          <w:szCs w:val="19"/>
        </w:rPr>
        <w:t>how can multi-agent collaborative perception be made accurate, low-latency and bandwidth-efficient enough to run on a low-power edge platform such as the i.MX 8M Plus?</w:t>
      </w:r>
    </w:p>
    <w:p w14:paraId="455D60A7">
      <w:pPr>
        <w:pStyle w:val="16"/>
        <w:numPr>
          <w:ilvl w:val="0"/>
          <w:numId w:val="1"/>
        </w:numPr>
        <w:spacing w:after="30" w:line="240" w:lineRule="auto"/>
        <w:jc w:val="both"/>
      </w:pPr>
      <w:r>
        <w:rPr>
          <w:rFonts w:ascii="Calibri" w:hAnsi="Calibri" w:eastAsia="Calibri" w:cs="Calibri"/>
          <w:b/>
          <w:bCs/>
          <w:sz w:val="19"/>
          <w:szCs w:val="19"/>
        </w:rPr>
        <w:t xml:space="preserve">G1 - Accuracy: </w:t>
      </w:r>
      <w:r>
        <w:rPr>
          <w:rFonts w:ascii="Calibri" w:hAnsi="Calibri" w:eastAsia="Calibri" w:cs="Calibri"/>
          <w:sz w:val="19"/>
          <w:szCs w:val="19"/>
        </w:rPr>
        <w:t>collaborative model improves detection AP (IoU 0.5) over the single-agent baseline on OPV2V/V2X-Sim.</w:t>
      </w:r>
    </w:p>
    <w:p w14:paraId="18F7A1D8">
      <w:pPr>
        <w:pStyle w:val="16"/>
        <w:numPr>
          <w:ilvl w:val="0"/>
          <w:numId w:val="1"/>
        </w:numPr>
        <w:spacing w:after="30" w:line="240" w:lineRule="auto"/>
        <w:jc w:val="both"/>
      </w:pPr>
      <w:r>
        <w:rPr>
          <w:rFonts w:ascii="Calibri" w:hAnsi="Calibri" w:eastAsia="Calibri" w:cs="Calibri"/>
          <w:b/>
          <w:bCs/>
          <w:sz w:val="19"/>
          <w:szCs w:val="19"/>
        </w:rPr>
        <w:t xml:space="preserve">G2 - Real-time edge inference: </w:t>
      </w:r>
      <w:r>
        <w:rPr>
          <w:rFonts w:ascii="Calibri" w:hAnsi="Calibri" w:eastAsia="Calibri" w:cs="Calibri"/>
          <w:sz w:val="19"/>
          <w:szCs w:val="19"/>
        </w:rPr>
        <w:t>INT8 model on the NPU with end-to-end latency (inference + fusion + transfer) below ~100 ms per frame; report FPS, memory and power.</w:t>
      </w:r>
    </w:p>
    <w:p w14:paraId="663CAE94">
      <w:pPr>
        <w:pStyle w:val="16"/>
        <w:numPr>
          <w:ilvl w:val="0"/>
          <w:numId w:val="1"/>
        </w:numPr>
        <w:spacing w:after="30" w:line="240" w:lineRule="auto"/>
        <w:jc w:val="both"/>
      </w:pPr>
      <w:r>
        <w:rPr>
          <w:rFonts w:ascii="Calibri" w:hAnsi="Calibri" w:eastAsia="Calibri" w:cs="Calibri"/>
          <w:b/>
          <w:bCs/>
          <w:sz w:val="19"/>
          <w:szCs w:val="19"/>
        </w:rPr>
        <w:t xml:space="preserve">G3 - Communication efficiency: </w:t>
      </w:r>
      <w:r>
        <w:rPr>
          <w:rFonts w:ascii="Calibri" w:hAnsi="Calibri" w:eastAsia="Calibri" w:cs="Calibri"/>
          <w:sz w:val="19"/>
          <w:szCs w:val="19"/>
        </w:rPr>
        <w:t>quantify the accuracy vs. bandwidth trade-off using feature compression and under emulated delay/loss.</w:t>
      </w:r>
    </w:p>
    <w:p w14:paraId="2918F9C2">
      <w:pPr>
        <w:pStyle w:val="16"/>
        <w:numPr>
          <w:ilvl w:val="0"/>
          <w:numId w:val="1"/>
        </w:numPr>
        <w:spacing w:after="30" w:line="240" w:lineRule="auto"/>
        <w:jc w:val="both"/>
      </w:pPr>
      <w:r>
        <w:rPr>
          <w:rFonts w:ascii="Calibri" w:hAnsi="Calibri" w:eastAsia="Calibri" w:cs="Calibri"/>
          <w:b/>
          <w:bCs/>
          <w:sz w:val="19"/>
          <w:szCs w:val="19"/>
        </w:rPr>
        <w:t xml:space="preserve">G4 - Deliverables: </w:t>
      </w:r>
      <w:r>
        <w:rPr>
          <w:rFonts w:ascii="Calibri" w:hAnsi="Calibri" w:eastAsia="Calibri" w:cs="Calibri"/>
          <w:sz w:val="19"/>
          <w:szCs w:val="19"/>
        </w:rPr>
        <w:t>working demo on the board, reproducible code repository, final report and presentation.</w:t>
      </w:r>
    </w:p>
    <w:p w14:paraId="54E033DB">
      <w:pPr>
        <w:keepNext/>
        <w:pBdr>
          <w:bottom w:val="single" w:color="1F4E79" w:sz="6" w:space="1"/>
        </w:pBdr>
        <w:spacing w:before="110" w:after="50"/>
      </w:pPr>
      <w:r>
        <w:rPr>
          <w:rFonts w:ascii="Calibri" w:hAnsi="Calibri" w:eastAsia="Calibri" w:cs="Calibri"/>
          <w:b/>
          <w:bCs/>
          <w:color w:val="1F4E79"/>
          <w:sz w:val="23"/>
          <w:szCs w:val="23"/>
        </w:rPr>
        <w:t>4. Team Roles and Responsibilities</w:t>
      </w:r>
    </w:p>
    <w:tbl>
      <w:tblPr>
        <w:tblStyle w:val="9"/>
        <w:tblW w:w="97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900"/>
        <w:gridCol w:w="2100"/>
        <w:gridCol w:w="5700"/>
      </w:tblGrid>
      <w:tr w14:paraId="64428D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Borders>
              <w:top w:val="single" w:color="A6A6A6" w:sz="4" w:space="0"/>
              <w:left w:val="single" w:color="A6A6A6" w:sz="4" w:space="0"/>
              <w:bottom w:val="single" w:color="A6A6A6" w:sz="4" w:space="0"/>
              <w:right w:val="single" w:color="A6A6A6" w:sz="4" w:space="0"/>
            </w:tcBorders>
            <w:shd w:val="clear" w:color="auto" w:fill="DCE6F1"/>
            <w:tcMar>
              <w:top w:w="30" w:type="dxa"/>
              <w:left w:w="80" w:type="dxa"/>
              <w:bottom w:w="30" w:type="dxa"/>
              <w:right w:w="80" w:type="dxa"/>
            </w:tcMar>
          </w:tcPr>
          <w:p w14:paraId="109A3888">
            <w:r>
              <w:rPr>
                <w:rFonts w:ascii="Calibri" w:hAnsi="Calibri" w:eastAsia="Calibri" w:cs="Calibri"/>
                <w:b/>
                <w:bCs/>
                <w:sz w:val="17"/>
                <w:szCs w:val="17"/>
              </w:rPr>
              <w:t>Team member</w:t>
            </w:r>
          </w:p>
        </w:tc>
        <w:tc>
          <w:tcPr>
            <w:tcW w:w="2100" w:type="dxa"/>
            <w:tcBorders>
              <w:top w:val="single" w:color="A6A6A6" w:sz="4" w:space="0"/>
              <w:left w:val="single" w:color="A6A6A6" w:sz="4" w:space="0"/>
              <w:bottom w:val="single" w:color="A6A6A6" w:sz="4" w:space="0"/>
              <w:right w:val="single" w:color="A6A6A6" w:sz="4" w:space="0"/>
            </w:tcBorders>
            <w:shd w:val="clear" w:color="auto" w:fill="DCE6F1"/>
            <w:tcMar>
              <w:top w:w="30" w:type="dxa"/>
              <w:left w:w="80" w:type="dxa"/>
              <w:bottom w:w="30" w:type="dxa"/>
              <w:right w:w="80" w:type="dxa"/>
            </w:tcMar>
          </w:tcPr>
          <w:p w14:paraId="05C7059D">
            <w:r>
              <w:rPr>
                <w:rFonts w:ascii="Calibri" w:hAnsi="Calibri" w:eastAsia="Calibri" w:cs="Calibri"/>
                <w:b/>
                <w:bCs/>
                <w:sz w:val="17"/>
                <w:szCs w:val="17"/>
              </w:rPr>
              <w:t>Role</w:t>
            </w:r>
          </w:p>
        </w:tc>
        <w:tc>
          <w:tcPr>
            <w:tcW w:w="5700" w:type="dxa"/>
            <w:tcBorders>
              <w:top w:val="single" w:color="A6A6A6" w:sz="4" w:space="0"/>
              <w:left w:val="single" w:color="A6A6A6" w:sz="4" w:space="0"/>
              <w:bottom w:val="single" w:color="A6A6A6" w:sz="4" w:space="0"/>
              <w:right w:val="single" w:color="A6A6A6" w:sz="4" w:space="0"/>
            </w:tcBorders>
            <w:shd w:val="clear" w:color="auto" w:fill="DCE6F1"/>
            <w:tcMar>
              <w:top w:w="30" w:type="dxa"/>
              <w:left w:w="80" w:type="dxa"/>
              <w:bottom w:w="30" w:type="dxa"/>
              <w:right w:w="80" w:type="dxa"/>
            </w:tcMar>
          </w:tcPr>
          <w:p w14:paraId="445B7DE4">
            <w:r>
              <w:rPr>
                <w:rFonts w:ascii="Calibri" w:hAnsi="Calibri" w:eastAsia="Calibri" w:cs="Calibri"/>
                <w:b/>
                <w:bCs/>
                <w:sz w:val="17"/>
                <w:szCs w:val="17"/>
              </w:rPr>
              <w:t>Responsibilities</w:t>
            </w:r>
          </w:p>
        </w:tc>
      </w:tr>
      <w:tr w14:paraId="6BBB93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Borders>
              <w:top w:val="single" w:color="A6A6A6" w:sz="4" w:space="0"/>
              <w:left w:val="single" w:color="A6A6A6" w:sz="4" w:space="0"/>
              <w:bottom w:val="single" w:color="A6A6A6" w:sz="4" w:space="0"/>
              <w:right w:val="single" w:color="A6A6A6" w:sz="4" w:space="0"/>
            </w:tcBorders>
            <w:tcMar>
              <w:top w:w="30" w:type="dxa"/>
              <w:left w:w="80" w:type="dxa"/>
              <w:bottom w:w="30" w:type="dxa"/>
              <w:right w:w="80" w:type="dxa"/>
            </w:tcMar>
          </w:tcPr>
          <w:p w14:paraId="0ECA9CAB">
            <w:r>
              <w:rPr>
                <w:rFonts w:hint="default" w:ascii="Calibri" w:hAnsi="Calibri" w:eastAsia="Calibri" w:cs="Calibri"/>
                <w:b w:val="0"/>
                <w:bCs w:val="0"/>
                <w:sz w:val="17"/>
                <w:szCs w:val="17"/>
                <w:lang w:val="ro-RO"/>
              </w:rPr>
              <w:t>Amanolesei Andrei</w:t>
            </w:r>
          </w:p>
        </w:tc>
        <w:tc>
          <w:tcPr>
            <w:tcW w:w="2100" w:type="dxa"/>
            <w:tcBorders>
              <w:top w:val="single" w:color="A6A6A6" w:sz="4" w:space="0"/>
              <w:left w:val="single" w:color="A6A6A6" w:sz="4" w:space="0"/>
              <w:bottom w:val="single" w:color="A6A6A6" w:sz="4" w:space="0"/>
              <w:right w:val="single" w:color="A6A6A6" w:sz="4" w:space="0"/>
            </w:tcBorders>
            <w:tcMar>
              <w:top w:w="30" w:type="dxa"/>
              <w:left w:w="80" w:type="dxa"/>
              <w:bottom w:w="30" w:type="dxa"/>
              <w:right w:w="80" w:type="dxa"/>
            </w:tcMar>
          </w:tcPr>
          <w:p w14:paraId="4ADBD399">
            <w:r>
              <w:rPr>
                <w:rFonts w:ascii="Calibri" w:hAnsi="Calibri" w:eastAsia="Calibri" w:cs="Calibri"/>
                <w:b w:val="0"/>
                <w:bCs w:val="0"/>
                <w:sz w:val="17"/>
                <w:szCs w:val="17"/>
              </w:rPr>
              <w:t>Project lead &amp; system integration</w:t>
            </w:r>
          </w:p>
        </w:tc>
        <w:tc>
          <w:tcPr>
            <w:tcW w:w="5700" w:type="dxa"/>
            <w:tcBorders>
              <w:top w:val="single" w:color="A6A6A6" w:sz="4" w:space="0"/>
              <w:left w:val="single" w:color="A6A6A6" w:sz="4" w:space="0"/>
              <w:bottom w:val="single" w:color="A6A6A6" w:sz="4" w:space="0"/>
              <w:right w:val="single" w:color="A6A6A6" w:sz="4" w:space="0"/>
            </w:tcBorders>
            <w:tcMar>
              <w:top w:w="30" w:type="dxa"/>
              <w:left w:w="80" w:type="dxa"/>
              <w:bottom w:w="30" w:type="dxa"/>
              <w:right w:w="80" w:type="dxa"/>
            </w:tcMar>
          </w:tcPr>
          <w:p w14:paraId="07F7EF8B">
            <w:r>
              <w:rPr>
                <w:rFonts w:ascii="Calibri" w:hAnsi="Calibri" w:eastAsia="Calibri" w:cs="Calibri"/>
                <w:b w:val="0"/>
                <w:bCs w:val="0"/>
                <w:sz w:val="17"/>
                <w:szCs w:val="17"/>
              </w:rPr>
              <w:t>Planning, repository/CI, board bring-up (Yocto/BSP, eIQ), integration of all modules, final demo and report.</w:t>
            </w:r>
          </w:p>
        </w:tc>
      </w:tr>
      <w:tr w14:paraId="4DC0F6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Borders>
              <w:top w:val="single" w:color="A6A6A6" w:sz="4" w:space="0"/>
              <w:left w:val="single" w:color="A6A6A6" w:sz="4" w:space="0"/>
              <w:bottom w:val="single" w:color="A6A6A6" w:sz="4" w:space="0"/>
              <w:right w:val="single" w:color="A6A6A6" w:sz="4" w:space="0"/>
            </w:tcBorders>
            <w:tcMar>
              <w:top w:w="30" w:type="dxa"/>
              <w:left w:w="80" w:type="dxa"/>
              <w:bottom w:w="30" w:type="dxa"/>
              <w:right w:w="80" w:type="dxa"/>
            </w:tcMar>
          </w:tcPr>
          <w:p w14:paraId="5541B73B">
            <w:pPr>
              <w:rPr>
                <w:rFonts w:hint="default"/>
                <w:lang w:val="ro-RO"/>
              </w:rPr>
            </w:pPr>
            <w:r>
              <w:rPr>
                <w:rFonts w:hint="default" w:ascii="Calibri" w:hAnsi="Calibri" w:eastAsia="Calibri" w:cs="Calibri"/>
                <w:b w:val="0"/>
                <w:bCs w:val="0"/>
                <w:sz w:val="17"/>
                <w:szCs w:val="17"/>
                <w:lang w:val="ro-RO"/>
              </w:rPr>
              <w:t xml:space="preserve">Nicsan Alexandra </w:t>
            </w:r>
          </w:p>
        </w:tc>
        <w:tc>
          <w:tcPr>
            <w:tcW w:w="2100" w:type="dxa"/>
            <w:tcBorders>
              <w:top w:val="single" w:color="A6A6A6" w:sz="4" w:space="0"/>
              <w:left w:val="single" w:color="A6A6A6" w:sz="4" w:space="0"/>
              <w:bottom w:val="single" w:color="A6A6A6" w:sz="4" w:space="0"/>
              <w:right w:val="single" w:color="A6A6A6" w:sz="4" w:space="0"/>
            </w:tcBorders>
            <w:tcMar>
              <w:top w:w="30" w:type="dxa"/>
              <w:left w:w="80" w:type="dxa"/>
              <w:bottom w:w="30" w:type="dxa"/>
              <w:right w:w="80" w:type="dxa"/>
            </w:tcMar>
          </w:tcPr>
          <w:p w14:paraId="01B8FD87">
            <w:r>
              <w:rPr>
                <w:rFonts w:ascii="Calibri" w:hAnsi="Calibri" w:eastAsia="Calibri" w:cs="Calibri"/>
                <w:b w:val="0"/>
                <w:bCs w:val="0"/>
                <w:sz w:val="17"/>
                <w:szCs w:val="17"/>
              </w:rPr>
              <w:t>ML engineer – perception model</w:t>
            </w:r>
          </w:p>
        </w:tc>
        <w:tc>
          <w:tcPr>
            <w:tcW w:w="5700" w:type="dxa"/>
            <w:tcBorders>
              <w:top w:val="single" w:color="A6A6A6" w:sz="4" w:space="0"/>
              <w:left w:val="single" w:color="A6A6A6" w:sz="4" w:space="0"/>
              <w:bottom w:val="single" w:color="A6A6A6" w:sz="4" w:space="0"/>
              <w:right w:val="single" w:color="A6A6A6" w:sz="4" w:space="0"/>
            </w:tcBorders>
            <w:tcMar>
              <w:top w:w="30" w:type="dxa"/>
              <w:left w:w="80" w:type="dxa"/>
              <w:bottom w:w="30" w:type="dxa"/>
              <w:right w:w="80" w:type="dxa"/>
            </w:tcMar>
          </w:tcPr>
          <w:p w14:paraId="51C53882">
            <w:r>
              <w:rPr>
                <w:rFonts w:ascii="Calibri" w:hAnsi="Calibri" w:eastAsia="Calibri" w:cs="Calibri"/>
                <w:b w:val="0"/>
                <w:bCs w:val="0"/>
                <w:sz w:val="17"/>
                <w:szCs w:val="17"/>
              </w:rPr>
              <w:t>Dataset preparation (OPV2V / V2X-Sim), lightweight detector and intermediate-fusion model, training, ablations.</w:t>
            </w:r>
          </w:p>
        </w:tc>
      </w:tr>
      <w:tr w14:paraId="5DE464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Borders>
              <w:top w:val="single" w:color="A6A6A6" w:sz="4" w:space="0"/>
              <w:left w:val="single" w:color="A6A6A6" w:sz="4" w:space="0"/>
              <w:bottom w:val="single" w:color="A6A6A6" w:sz="4" w:space="0"/>
              <w:right w:val="single" w:color="A6A6A6" w:sz="4" w:space="0"/>
            </w:tcBorders>
            <w:tcMar>
              <w:top w:w="30" w:type="dxa"/>
              <w:left w:w="80" w:type="dxa"/>
              <w:bottom w:w="30" w:type="dxa"/>
              <w:right w:w="80" w:type="dxa"/>
            </w:tcMar>
          </w:tcPr>
          <w:p w14:paraId="127F439C">
            <w:pPr>
              <w:rPr>
                <w:rFonts w:hint="default"/>
                <w:lang w:val="ro-RO"/>
              </w:rPr>
            </w:pPr>
            <w:r>
              <w:rPr>
                <w:rFonts w:hint="default" w:ascii="Calibri" w:hAnsi="Calibri" w:eastAsia="Calibri" w:cs="Calibri"/>
                <w:b w:val="0"/>
                <w:bCs w:val="0"/>
                <w:sz w:val="17"/>
                <w:szCs w:val="17"/>
                <w:lang w:val="ro-RO"/>
              </w:rPr>
              <w:t>Nicsan Alexandra</w:t>
            </w:r>
          </w:p>
        </w:tc>
        <w:tc>
          <w:tcPr>
            <w:tcW w:w="2100" w:type="dxa"/>
            <w:tcBorders>
              <w:top w:val="single" w:color="A6A6A6" w:sz="4" w:space="0"/>
              <w:left w:val="single" w:color="A6A6A6" w:sz="4" w:space="0"/>
              <w:bottom w:val="single" w:color="A6A6A6" w:sz="4" w:space="0"/>
              <w:right w:val="single" w:color="A6A6A6" w:sz="4" w:space="0"/>
            </w:tcBorders>
            <w:tcMar>
              <w:top w:w="30" w:type="dxa"/>
              <w:left w:w="80" w:type="dxa"/>
              <w:bottom w:w="30" w:type="dxa"/>
              <w:right w:w="80" w:type="dxa"/>
            </w:tcMar>
          </w:tcPr>
          <w:p w14:paraId="6E4C329B">
            <w:r>
              <w:rPr>
                <w:rFonts w:ascii="Calibri" w:hAnsi="Calibri" w:eastAsia="Calibri" w:cs="Calibri"/>
                <w:b w:val="0"/>
                <w:bCs w:val="0"/>
                <w:sz w:val="17"/>
                <w:szCs w:val="17"/>
              </w:rPr>
              <w:t>Edge deployment engineer</w:t>
            </w:r>
          </w:p>
        </w:tc>
        <w:tc>
          <w:tcPr>
            <w:tcW w:w="5700" w:type="dxa"/>
            <w:tcBorders>
              <w:top w:val="single" w:color="A6A6A6" w:sz="4" w:space="0"/>
              <w:left w:val="single" w:color="A6A6A6" w:sz="4" w:space="0"/>
              <w:bottom w:val="single" w:color="A6A6A6" w:sz="4" w:space="0"/>
              <w:right w:val="single" w:color="A6A6A6" w:sz="4" w:space="0"/>
            </w:tcBorders>
            <w:tcMar>
              <w:top w:w="30" w:type="dxa"/>
              <w:left w:w="80" w:type="dxa"/>
              <w:bottom w:w="30" w:type="dxa"/>
              <w:right w:w="80" w:type="dxa"/>
            </w:tcMar>
          </w:tcPr>
          <w:p w14:paraId="3766396F">
            <w:r>
              <w:rPr>
                <w:rFonts w:ascii="Calibri" w:hAnsi="Calibri" w:eastAsia="Calibri" w:cs="Calibri"/>
                <w:b w:val="0"/>
                <w:bCs w:val="0"/>
                <w:sz w:val="17"/>
                <w:szCs w:val="17"/>
              </w:rPr>
              <w:t>INT8 quantization, TFLite/ONNX export, NPU (VX delegate) deployment, latency, memory and power profiling.</w:t>
            </w:r>
          </w:p>
        </w:tc>
      </w:tr>
      <w:tr w14:paraId="4087CF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Borders>
              <w:top w:val="single" w:color="A6A6A6" w:sz="4" w:space="0"/>
              <w:left w:val="single" w:color="A6A6A6" w:sz="4" w:space="0"/>
              <w:bottom w:val="single" w:color="A6A6A6" w:sz="4" w:space="0"/>
              <w:right w:val="single" w:color="A6A6A6" w:sz="4" w:space="0"/>
            </w:tcBorders>
            <w:tcMar>
              <w:top w:w="30" w:type="dxa"/>
              <w:left w:w="80" w:type="dxa"/>
              <w:bottom w:w="30" w:type="dxa"/>
              <w:right w:w="80" w:type="dxa"/>
            </w:tcMar>
          </w:tcPr>
          <w:p w14:paraId="5C6468CB">
            <w:pPr>
              <w:rPr>
                <w:rFonts w:hint="default"/>
                <w:lang w:val="ro-RO"/>
              </w:rPr>
            </w:pPr>
            <w:r>
              <w:rPr>
                <w:rFonts w:hint="default" w:ascii="Calibri" w:hAnsi="Calibri" w:eastAsia="Calibri" w:cs="Calibri"/>
                <w:b w:val="0"/>
                <w:bCs w:val="0"/>
                <w:sz w:val="17"/>
                <w:szCs w:val="17"/>
                <w:lang w:val="ro-RO"/>
              </w:rPr>
              <w:t>Amanolesei Andrei</w:t>
            </w:r>
            <w:bookmarkStart w:id="0" w:name="_GoBack"/>
            <w:bookmarkEnd w:id="0"/>
          </w:p>
        </w:tc>
        <w:tc>
          <w:tcPr>
            <w:tcW w:w="2100" w:type="dxa"/>
            <w:tcBorders>
              <w:top w:val="single" w:color="A6A6A6" w:sz="4" w:space="0"/>
              <w:left w:val="single" w:color="A6A6A6" w:sz="4" w:space="0"/>
              <w:bottom w:val="single" w:color="A6A6A6" w:sz="4" w:space="0"/>
              <w:right w:val="single" w:color="A6A6A6" w:sz="4" w:space="0"/>
            </w:tcBorders>
            <w:tcMar>
              <w:top w:w="30" w:type="dxa"/>
              <w:left w:w="80" w:type="dxa"/>
              <w:bottom w:w="30" w:type="dxa"/>
              <w:right w:w="80" w:type="dxa"/>
            </w:tcMar>
          </w:tcPr>
          <w:p w14:paraId="7ADFFEA1">
            <w:r>
              <w:rPr>
                <w:rFonts w:ascii="Calibri" w:hAnsi="Calibri" w:eastAsia="Calibri" w:cs="Calibri"/>
                <w:b w:val="0"/>
                <w:bCs w:val="0"/>
                <w:sz w:val="17"/>
                <w:szCs w:val="17"/>
              </w:rPr>
              <w:t>Communication &amp; evaluation engineer</w:t>
            </w:r>
          </w:p>
        </w:tc>
        <w:tc>
          <w:tcPr>
            <w:tcW w:w="5700" w:type="dxa"/>
            <w:tcBorders>
              <w:top w:val="single" w:color="A6A6A6" w:sz="4" w:space="0"/>
              <w:left w:val="single" w:color="A6A6A6" w:sz="4" w:space="0"/>
              <w:bottom w:val="single" w:color="A6A6A6" w:sz="4" w:space="0"/>
              <w:right w:val="single" w:color="A6A6A6" w:sz="4" w:space="0"/>
            </w:tcBorders>
            <w:tcMar>
              <w:top w:w="30" w:type="dxa"/>
              <w:left w:w="80" w:type="dxa"/>
              <w:bottom w:w="30" w:type="dxa"/>
              <w:right w:w="80" w:type="dxa"/>
            </w:tcMar>
          </w:tcPr>
          <w:p w14:paraId="35963DBB">
            <w:r>
              <w:rPr>
                <w:rFonts w:ascii="Calibri" w:hAnsi="Calibri" w:eastAsia="Calibri" w:cs="Calibri"/>
                <w:b w:val="0"/>
                <w:bCs w:val="0"/>
                <w:sz w:val="17"/>
                <w:szCs w:val="17"/>
              </w:rPr>
              <w:t>V2X link emulation (bandwidth, latency, packet loss), feature compression, metrics, experiment automation.</w:t>
            </w:r>
          </w:p>
        </w:tc>
      </w:tr>
    </w:tbl>
    <w:p w14:paraId="13D36174">
      <w:pPr>
        <w:spacing w:before="60" w:after="0" w:line="240" w:lineRule="auto"/>
        <w:jc w:val="both"/>
      </w:pPr>
      <w:r>
        <w:rPr>
          <w:rFonts w:ascii="Calibri" w:hAnsi="Calibri" w:eastAsia="Calibri" w:cs="Calibri"/>
          <w:sz w:val="19"/>
          <w:szCs w:val="19"/>
        </w:rPr>
        <w:t>Milestones: W3 proposal and board bring-up; W4-5 baseline model and dataset pipeline; W6-8 collaborative model and NPU deployment; W9-10 communication emulation and evaluation; W11+ optimization, report and demo.</w:t>
      </w:r>
    </w:p>
    <w:p w14:paraId="5454A427">
      <w:r>
        <w:br w:type="page"/>
      </w:r>
    </w:p>
    <w:p w14:paraId="71B85B99">
      <w:pPr>
        <w:keepNext/>
        <w:pBdr>
          <w:bottom w:val="single" w:color="1F4E79" w:sz="6" w:space="1"/>
        </w:pBdr>
        <w:spacing w:before="110" w:after="50"/>
      </w:pPr>
      <w:r>
        <w:rPr>
          <w:rFonts w:ascii="Calibri" w:hAnsi="Calibri" w:eastAsia="Calibri" w:cs="Calibri"/>
          <w:b/>
          <w:bCs/>
          <w:color w:val="1F4E79"/>
          <w:sz w:val="23"/>
          <w:szCs w:val="23"/>
        </w:rPr>
        <w:t>5. Literature Review</w:t>
      </w:r>
    </w:p>
    <w:p w14:paraId="12204F60">
      <w:pPr>
        <w:spacing w:after="60" w:line="245" w:lineRule="auto"/>
        <w:jc w:val="both"/>
      </w:pPr>
      <w:r>
        <w:rPr>
          <w:rFonts w:ascii="Calibri" w:hAnsi="Calibri" w:eastAsia="Calibri" w:cs="Calibri"/>
          <w:b/>
          <w:bCs/>
          <w:sz w:val="19"/>
          <w:szCs w:val="19"/>
        </w:rPr>
        <w:t xml:space="preserve">Collaborative perception. </w:t>
      </w:r>
      <w:r>
        <w:rPr>
          <w:rFonts w:ascii="Calibri" w:hAnsi="Calibri" w:eastAsia="Calibri" w:cs="Calibri"/>
          <w:sz w:val="19"/>
          <w:szCs w:val="19"/>
        </w:rPr>
        <w:t>Early work showed that sharing raw LiDAR (Cooper) or intermediate feature maps (F-Cooper, Chen et al., 2019) improves detection over single-vehicle perception, and that feature-level sharing offers a good balance of accuracy and bandwidth. V2VNet (Wang et al., 2020) introduced spatially aware message passing between vehicles for joint perception and prediction. DiscoNet (Li et al., 2021) used knowledge distillation from early fusion to train a collaboration graph, and Where2comm (Hu et al., 2022) added spatial confidence maps so that agents only transmit the information that matters, improving the accuracy-bandwidth trade-off. Transformer-based fusion followed with V2X-ViT (Xu et al., 2022), which handles heterogeneous agents (vehicles and infrastructure) and noise, and CoBEVT (Xu et al., 2022), which uses sparse transformers for BEV segmentation. SyncNet (Lei et al., 2022) addresses the practical problem of communication latency by compensating for stale features.</w:t>
      </w:r>
    </w:p>
    <w:p w14:paraId="583C7A40">
      <w:pPr>
        <w:spacing w:after="60" w:line="245" w:lineRule="auto"/>
        <w:jc w:val="both"/>
      </w:pPr>
      <w:r>
        <w:rPr>
          <w:rFonts w:ascii="Calibri" w:hAnsi="Calibri" w:eastAsia="Calibri" w:cs="Calibri"/>
          <w:b/>
          <w:bCs/>
          <w:sz w:val="19"/>
          <w:szCs w:val="19"/>
        </w:rPr>
        <w:t xml:space="preserve">Datasets and benchmarks. </w:t>
      </w:r>
      <w:r>
        <w:rPr>
          <w:rFonts w:ascii="Calibri" w:hAnsi="Calibri" w:eastAsia="Calibri" w:cs="Calibri"/>
          <w:sz w:val="19"/>
          <w:szCs w:val="19"/>
        </w:rPr>
        <w:t>OPV2V (Xu et al., 2022) and V2X-Sim (Li et al., 2022) provide simulated multi-agent LiDAR/camera data and fusion baselines (including a PointPillars-based pipeline), and are the standard benchmarks we will use since real multi-vehicle data collection is out of reach for this project.</w:t>
      </w:r>
    </w:p>
    <w:p w14:paraId="1CB58F9D">
      <w:pPr>
        <w:spacing w:after="60" w:line="245" w:lineRule="auto"/>
        <w:jc w:val="both"/>
      </w:pPr>
      <w:r>
        <w:rPr>
          <w:rFonts w:ascii="Calibri" w:hAnsi="Calibri" w:eastAsia="Calibri" w:cs="Calibri"/>
          <w:b/>
          <w:bCs/>
          <w:sz w:val="19"/>
          <w:szCs w:val="19"/>
        </w:rPr>
        <w:t xml:space="preserve">Edge AI context. </w:t>
      </w:r>
      <w:r>
        <w:rPr>
          <w:rFonts w:ascii="Calibri" w:hAnsi="Calibri" w:eastAsia="Calibri" w:cs="Calibri"/>
          <w:sz w:val="19"/>
          <w:szCs w:val="19"/>
        </w:rPr>
        <w:t>Edge deployment relies on efficient backbones (MobileNet, PointPillars-style pillar encoders) and post-training INT8 quantization (Jacob et al., 2018), which typically yields 2-4x lower latency and memory use on NPUs with limited accuracy loss. Edge-assisted perception systems such as AutoCast (Qiu et al., 2022) and EMP (Zhang et al., 2021) study how to share data under real network constraints. NXP's eIQ toolchain supports TFLite/ONNX models on the i.MX 8M Plus NPU, but only for a supported subset of operators.</w:t>
      </w:r>
    </w:p>
    <w:p w14:paraId="37BD32C9">
      <w:pPr>
        <w:spacing w:after="60" w:line="245" w:lineRule="auto"/>
        <w:jc w:val="both"/>
      </w:pPr>
      <w:r>
        <w:rPr>
          <w:rFonts w:ascii="Calibri" w:hAnsi="Calibri" w:eastAsia="Calibri" w:cs="Calibri"/>
          <w:b/>
          <w:bCs/>
          <w:sz w:val="19"/>
          <w:szCs w:val="19"/>
        </w:rPr>
        <w:t xml:space="preserve">Identified gaps. </w:t>
      </w:r>
    </w:p>
    <w:p w14:paraId="6F25A7AB">
      <w:pPr>
        <w:pStyle w:val="16"/>
        <w:numPr>
          <w:ilvl w:val="0"/>
          <w:numId w:val="1"/>
        </w:numPr>
        <w:spacing w:after="30" w:line="240" w:lineRule="auto"/>
        <w:jc w:val="both"/>
      </w:pPr>
      <w:r>
        <w:rPr>
          <w:rFonts w:ascii="Calibri" w:hAnsi="Calibri" w:eastAsia="Calibri" w:cs="Calibri"/>
          <w:sz w:val="19"/>
          <w:szCs w:val="19"/>
        </w:rPr>
        <w:t>Most methods are trained and benchmarked on server-class GPUs; few report INT8, NPU or power results, and none of the cited works target a low-power 2.3 TOPS embedded platform.</w:t>
      </w:r>
    </w:p>
    <w:p w14:paraId="0C51DFB7">
      <w:pPr>
        <w:pStyle w:val="16"/>
        <w:numPr>
          <w:ilvl w:val="0"/>
          <w:numId w:val="1"/>
        </w:numPr>
        <w:spacing w:after="30" w:line="240" w:lineRule="auto"/>
        <w:jc w:val="both"/>
      </w:pPr>
      <w:r>
        <w:rPr>
          <w:rFonts w:ascii="Calibri" w:hAnsi="Calibri" w:eastAsia="Calibri" w:cs="Calibri"/>
          <w:sz w:val="19"/>
          <w:szCs w:val="19"/>
        </w:rPr>
        <w:t>The best-performing models (transformers, multi-scale attention) are not designed for NPU operator support; the cost of simplifying them is rarely measured.</w:t>
      </w:r>
    </w:p>
    <w:p w14:paraId="1EF1CEF8">
      <w:pPr>
        <w:pStyle w:val="16"/>
        <w:numPr>
          <w:ilvl w:val="0"/>
          <w:numId w:val="1"/>
        </w:numPr>
        <w:spacing w:after="30" w:line="240" w:lineRule="auto"/>
        <w:jc w:val="both"/>
      </w:pPr>
      <w:r>
        <w:rPr>
          <w:rFonts w:ascii="Calibri" w:hAnsi="Calibri" w:eastAsia="Calibri" w:cs="Calibri"/>
          <w:sz w:val="19"/>
          <w:szCs w:val="19"/>
        </w:rPr>
        <w:t>Communication is usually modelled as a payload size or an idealised delay, rather than evaluated with an emulated link combining limited bandwidth, latency and loss together with on-device compute time.</w:t>
      </w:r>
    </w:p>
    <w:p w14:paraId="07654543">
      <w:pPr>
        <w:pStyle w:val="16"/>
        <w:numPr>
          <w:ilvl w:val="0"/>
          <w:numId w:val="1"/>
        </w:numPr>
        <w:spacing w:after="30" w:line="240" w:lineRule="auto"/>
        <w:jc w:val="both"/>
      </w:pPr>
      <w:r>
        <w:rPr>
          <w:rFonts w:ascii="Calibri" w:hAnsi="Calibri" w:eastAsia="Calibri" w:cs="Calibri"/>
          <w:sz w:val="19"/>
          <w:szCs w:val="19"/>
        </w:rPr>
        <w:t>End-to-end latency (sensing, inference, compression, transfer, fusion) on edge hardware is seldom reported.</w:t>
      </w:r>
    </w:p>
    <w:p w14:paraId="1D367D90">
      <w:pPr>
        <w:spacing w:before="60" w:after="60"/>
        <w:jc w:val="both"/>
      </w:pPr>
      <w:r>
        <w:rPr>
          <w:rFonts w:ascii="Calibri" w:hAnsi="Calibri" w:eastAsia="Calibri" w:cs="Calibri"/>
          <w:b/>
          <w:bCs/>
          <w:sz w:val="19"/>
          <w:szCs w:val="19"/>
        </w:rPr>
        <w:t xml:space="preserve">Our contribution: </w:t>
      </w:r>
      <w:r>
        <w:rPr>
          <w:rFonts w:ascii="Calibri" w:hAnsi="Calibri" w:eastAsia="Calibri" w:cs="Calibri"/>
          <w:sz w:val="19"/>
          <w:szCs w:val="19"/>
        </w:rPr>
        <w:t>a measured, reproducible edge implementation of intermediate-fusion collaborative perception on the i.MX 8M Plus, with a joint analysis of accuracy, latency, bandwidth and power.</w:t>
      </w:r>
    </w:p>
    <w:p w14:paraId="7B4EA4E9">
      <w:pPr>
        <w:spacing w:before="40" w:after="20"/>
      </w:pPr>
      <w:r>
        <w:rPr>
          <w:rFonts w:ascii="Calibri" w:hAnsi="Calibri" w:eastAsia="Calibri" w:cs="Calibri"/>
          <w:b/>
          <w:bCs/>
          <w:sz w:val="17"/>
          <w:szCs w:val="17"/>
        </w:rPr>
        <w:t>Key references</w:t>
      </w:r>
    </w:p>
    <w:p w14:paraId="0FB30775">
      <w:pPr>
        <w:spacing w:after="0" w:line="225" w:lineRule="auto"/>
      </w:pPr>
      <w:r>
        <w:rPr>
          <w:rFonts w:ascii="Calibri" w:hAnsi="Calibri" w:eastAsia="Calibri" w:cs="Calibri"/>
          <w:sz w:val="15"/>
          <w:szCs w:val="15"/>
        </w:rPr>
        <w:t>[1] Chen, Q. et al. F-Cooper: Feature based cooperative perception for autonomous vehicle edge computing system using 3D point clouds. ACM/IEEE SEC, 2019.</w:t>
      </w:r>
    </w:p>
    <w:p w14:paraId="123ED740">
      <w:pPr>
        <w:spacing w:after="0" w:line="225" w:lineRule="auto"/>
      </w:pPr>
      <w:r>
        <w:rPr>
          <w:rFonts w:ascii="Calibri" w:hAnsi="Calibri" w:eastAsia="Calibri" w:cs="Calibri"/>
          <w:sz w:val="15"/>
          <w:szCs w:val="15"/>
        </w:rPr>
        <w:t>[2] Wang, T.-H. et al. V2VNet: Vehicle-to-vehicle communication for joint perception and prediction. ECCV, 2020.</w:t>
      </w:r>
    </w:p>
    <w:p w14:paraId="079E1CCD">
      <w:pPr>
        <w:spacing w:after="0" w:line="225" w:lineRule="auto"/>
      </w:pPr>
      <w:r>
        <w:rPr>
          <w:rFonts w:ascii="Calibri" w:hAnsi="Calibri" w:eastAsia="Calibri" w:cs="Calibri"/>
          <w:sz w:val="15"/>
          <w:szCs w:val="15"/>
        </w:rPr>
        <w:t>[3] Li, Y. et al. Learning distilled collaboration graph for multi-agent perception (DiscoNet). NeurIPS, 2021.</w:t>
      </w:r>
    </w:p>
    <w:p w14:paraId="63FDECB8">
      <w:pPr>
        <w:spacing w:after="0" w:line="225" w:lineRule="auto"/>
      </w:pPr>
      <w:r>
        <w:rPr>
          <w:rFonts w:ascii="Calibri" w:hAnsi="Calibri" w:eastAsia="Calibri" w:cs="Calibri"/>
          <w:sz w:val="15"/>
          <w:szCs w:val="15"/>
        </w:rPr>
        <w:t>[4] Xu, R. et al. V2X-ViT: Vehicle-to-everything cooperative perception with vision transformer. ECCV, 2022.</w:t>
      </w:r>
    </w:p>
    <w:p w14:paraId="5FD9B994">
      <w:pPr>
        <w:spacing w:after="0" w:line="225" w:lineRule="auto"/>
      </w:pPr>
      <w:r>
        <w:rPr>
          <w:rFonts w:ascii="Calibri" w:hAnsi="Calibri" w:eastAsia="Calibri" w:cs="Calibri"/>
          <w:sz w:val="15"/>
          <w:szCs w:val="15"/>
        </w:rPr>
        <w:t>[5] Xu, R. et al. CoBEVT: Cooperative bird's eye view semantic segmentation with sparse transformers. CoRL, 2022.</w:t>
      </w:r>
    </w:p>
    <w:p w14:paraId="28118D2F">
      <w:pPr>
        <w:spacing w:after="0" w:line="225" w:lineRule="auto"/>
      </w:pPr>
      <w:r>
        <w:rPr>
          <w:rFonts w:ascii="Calibri" w:hAnsi="Calibri" w:eastAsia="Calibri" w:cs="Calibri"/>
          <w:sz w:val="15"/>
          <w:szCs w:val="15"/>
        </w:rPr>
        <w:t>[6] Xu, R. et al. OPV2V: An open benchmark dataset and fusion pipeline for perception with vehicle-to-vehicle communication. ICRA, 2022.</w:t>
      </w:r>
    </w:p>
    <w:p w14:paraId="4BAEB3D7">
      <w:pPr>
        <w:spacing w:after="0" w:line="225" w:lineRule="auto"/>
      </w:pPr>
      <w:r>
        <w:rPr>
          <w:rFonts w:ascii="Calibri" w:hAnsi="Calibri" w:eastAsia="Calibri" w:cs="Calibri"/>
          <w:sz w:val="15"/>
          <w:szCs w:val="15"/>
        </w:rPr>
        <w:t>[7] Hu, Y. et al. Where2comm: Communication-efficient collaborative perception via spatial confidence maps. NeurIPS, 2022.</w:t>
      </w:r>
    </w:p>
    <w:p w14:paraId="6449B4E0">
      <w:pPr>
        <w:spacing w:after="0" w:line="225" w:lineRule="auto"/>
      </w:pPr>
      <w:r>
        <w:rPr>
          <w:rFonts w:ascii="Calibri" w:hAnsi="Calibri" w:eastAsia="Calibri" w:cs="Calibri"/>
          <w:sz w:val="15"/>
          <w:szCs w:val="15"/>
        </w:rPr>
        <w:t>[8] Li, Y. et al. V2X-Sim: Multi-agent collaborative perception dataset and benchmark for autonomous driving. IEEE RA-L, 2022.</w:t>
      </w:r>
    </w:p>
    <w:p w14:paraId="602B030A">
      <w:pPr>
        <w:spacing w:after="0" w:line="225" w:lineRule="auto"/>
      </w:pPr>
      <w:r>
        <w:rPr>
          <w:rFonts w:ascii="Calibri" w:hAnsi="Calibri" w:eastAsia="Calibri" w:cs="Calibri"/>
          <w:sz w:val="15"/>
          <w:szCs w:val="15"/>
        </w:rPr>
        <w:t>[9] Lei, Z. et al. Latency-aware collaborative perception (SyncNet). ECCV, 2022.</w:t>
      </w:r>
    </w:p>
    <w:p w14:paraId="5884ACD9">
      <w:pPr>
        <w:spacing w:after="0" w:line="225" w:lineRule="auto"/>
      </w:pPr>
      <w:r>
        <w:rPr>
          <w:rFonts w:ascii="Calibri" w:hAnsi="Calibri" w:eastAsia="Calibri" w:cs="Calibri"/>
          <w:sz w:val="15"/>
          <w:szCs w:val="15"/>
        </w:rPr>
        <w:t>[10] Jacob, B. et al. Quantization and training of neural networks for efficient integer-arithmetic-only inference. CVPR, 2018.</w:t>
      </w:r>
    </w:p>
    <w:p w14:paraId="4C36B2CD">
      <w:pPr>
        <w:spacing w:after="0" w:line="225" w:lineRule="auto"/>
      </w:pPr>
      <w:r>
        <w:rPr>
          <w:rFonts w:ascii="Calibri" w:hAnsi="Calibri" w:eastAsia="Calibri" w:cs="Calibri"/>
          <w:sz w:val="15"/>
          <w:szCs w:val="15"/>
        </w:rPr>
        <w:t>[11] Qiu, H. et al. AutoCast: Scalable infrastructure-less cooperative perception for distributed collaborative driving. MobiSys, 2022.</w:t>
      </w:r>
    </w:p>
    <w:p w14:paraId="1DE52FBB">
      <w:pPr>
        <w:spacing w:after="0" w:line="225" w:lineRule="auto"/>
      </w:pPr>
      <w:r>
        <w:rPr>
          <w:rFonts w:ascii="Calibri" w:hAnsi="Calibri" w:eastAsia="Calibri" w:cs="Calibri"/>
          <w:sz w:val="15"/>
          <w:szCs w:val="15"/>
        </w:rPr>
        <w:t>[12] Zhang, X. et al. EMP: Edge-assisted multi-vehicle perception. ACM MobiCom, 2021.</w:t>
      </w:r>
    </w:p>
    <w:sectPr>
      <w:pgSz w:w="11906" w:h="16838"/>
      <w:pgMar w:top="850" w:right="1100" w:bottom="760" w:left="110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340" w:hanging="20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9"/>
  <w:displayBackgroundShape w:val="1"/>
  <w:documentProtection w:enforcement="0"/>
  <w:compat>
    <w:compatSetting w:name="compatibilityMode" w:uri="http://schemas.microsoft.com/office/word" w:val="15"/>
  </w:compat>
  <w:rsids>
    <w:rsidRoot w:val="00000000"/>
    <w:rsid w:val="0A23096A"/>
    <w:rsid w:val="23A87290"/>
    <w:rsid w:val="4D3C7775"/>
    <w:rsid w:val="73210D6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1"/>
      <w:szCs w:val="22"/>
    </w:rPr>
  </w:style>
  <w:style w:type="paragraph" w:styleId="2">
    <w:name w:val="heading 1"/>
    <w:next w:val="1"/>
    <w:qFormat/>
    <w:uiPriority w:val="0"/>
    <w:rPr>
      <w:color w:val="2E74B5"/>
      <w:sz w:val="32"/>
      <w:szCs w:val="32"/>
    </w:rPr>
  </w:style>
  <w:style w:type="paragraph" w:styleId="3">
    <w:name w:val="heading 2"/>
    <w:next w:val="1"/>
    <w:qFormat/>
    <w:uiPriority w:val="0"/>
    <w:rPr>
      <w:color w:val="2E74B5"/>
      <w:sz w:val="26"/>
      <w:szCs w:val="26"/>
    </w:rPr>
  </w:style>
  <w:style w:type="paragraph" w:styleId="4">
    <w:name w:val="heading 3"/>
    <w:next w:val="1"/>
    <w:qFormat/>
    <w:uiPriority w:val="0"/>
    <w:rPr>
      <w:color w:val="1F4D78"/>
      <w:sz w:val="24"/>
      <w:szCs w:val="24"/>
    </w:rPr>
  </w:style>
  <w:style w:type="paragraph" w:styleId="5">
    <w:name w:val="heading 4"/>
    <w:next w:val="1"/>
    <w:qFormat/>
    <w:uiPriority w:val="0"/>
    <w:rPr>
      <w:i/>
      <w:iCs/>
      <w:color w:val="2E74B5"/>
      <w:sz w:val="21"/>
      <w:szCs w:val="22"/>
    </w:rPr>
  </w:style>
  <w:style w:type="paragraph" w:styleId="6">
    <w:name w:val="heading 5"/>
    <w:next w:val="1"/>
    <w:qFormat/>
    <w:uiPriority w:val="0"/>
    <w:rPr>
      <w:color w:val="2E74B5"/>
      <w:sz w:val="21"/>
      <w:szCs w:val="22"/>
    </w:rPr>
  </w:style>
  <w:style w:type="paragraph" w:styleId="7">
    <w:name w:val="heading 6"/>
    <w:next w:val="1"/>
    <w:qFormat/>
    <w:uiPriority w:val="0"/>
    <w:rPr>
      <w:color w:val="1F4D78"/>
      <w:sz w:val="21"/>
      <w:szCs w:val="22"/>
    </w:rPr>
  </w:style>
  <w:style w:type="character" w:default="1" w:styleId="8">
    <w:name w:val="Default Paragraph Font"/>
    <w:semiHidden/>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sz w:val="20"/>
      <w:szCs w:val="20"/>
    </w:rPr>
  </w:style>
  <w:style w:type="character" w:styleId="14">
    <w:name w:val="Hyperlink"/>
    <w:unhideWhenUsed/>
    <w:qFormat/>
    <w:uiPriority w:val="99"/>
    <w:rPr>
      <w:color w:val="0563C1"/>
      <w:u w:val="single"/>
    </w:rPr>
  </w:style>
  <w:style w:type="paragraph" w:styleId="15">
    <w:name w:val="Title"/>
    <w:qFormat/>
    <w:uiPriority w:val="0"/>
    <w:rPr>
      <w:sz w:val="56"/>
      <w:szCs w:val="56"/>
    </w:rPr>
  </w:style>
  <w:style w:type="paragraph" w:styleId="16">
    <w:name w:val="List Paragraph"/>
    <w:qFormat/>
    <w:uiPriority w:val="0"/>
    <w:rPr>
      <w:sz w:val="21"/>
      <w:szCs w:val="22"/>
    </w:rPr>
  </w:style>
  <w:style w:type="character" w:customStyle="1" w:styleId="17">
    <w:name w:val="Footnote Text Char"/>
    <w:link w:val="13"/>
    <w:semiHidden/>
    <w:unhideWhenUsed/>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Pages>
  <TotalTime>10</TotalTime>
  <ScaleCrop>false</ScaleCrop>
  <LinksUpToDate>false</LinksUpToDate>
  <Application>WPS Office_12.2.0.23206_F1E327BC-269C-435d-A152-05C5408002CA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2026-10-14T14:21:00Z</dcterms:created>
  <dc:creator>Un-named</dc:creator>
  <cp:lastModifiedBy>nicsa</cp:lastModifiedBy>
  <dcterms:modified xsi:type="dcterms:W3CDTF">2026-10-14T14:41:16Z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1033-12.2.0.23206</vt:lpwstr>
  </property>
  <property fmtid="{D5CDD505-2E9C-101B-9397-08002B2CF9AE}" pid="3" name="ICV">
    <vt:lpwstr>21AA5251841647CCAF8BEC9C41D26063_13</vt:lpwstr>
  </property>
</Properties>
</file>