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7C0BCF" w:rsidRDefault="007C0BCF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xmlns:wp14="http://schemas.microsoft.com/office/word/2010/wordml" w:rsidR="007C0BCF" w:rsidRDefault="007C0BCF" w14:paraId="0A375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xmlns:wp14="http://schemas.microsoft.com/office/word/2010/wordml" w:rsidR="007C0BCF" w:rsidRDefault="000623D6" w14:paraId="7A282404" wp14:textId="77777777">
      <w:pPr>
        <w:pStyle w:val="Cm"/>
        <w:ind w:firstLine="0"/>
        <w:rPr>
          <w:rFonts w:ascii="Times New Roman" w:hAnsi="Times New Roman" w:eastAsia="Times New Roman" w:cs="Times New Roman"/>
          <w:b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>MSc Thesis Task Description</w:t>
      </w:r>
    </w:p>
    <w:p xmlns:wp14="http://schemas.microsoft.com/office/word/2010/wordml" w:rsidR="007C0BCF" w:rsidRDefault="000623D6" w14:paraId="6855C9CE" wp14:textId="777777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Csibi Alexandra</w:t>
      </w:r>
    </w:p>
    <w:p xmlns:wp14="http://schemas.microsoft.com/office/word/2010/wordml" w:rsidR="007C0BCF" w:rsidRDefault="000623D6" w14:paraId="464DC0ED" wp14:textId="77777777">
      <w:pPr>
        <w:jc w:val="center"/>
      </w:pPr>
      <w:r>
        <w:t>candidate for MSc degree in Computer Engineering</w:t>
      </w:r>
    </w:p>
    <w:p xmlns:wp14="http://schemas.microsoft.com/office/word/2010/wordml" w:rsidR="007C0BCF" w:rsidRDefault="007C0BCF" w14:paraId="5DAB6C7B" wp14:textId="77777777">
      <w:pPr>
        <w:jc w:val="center"/>
      </w:pPr>
    </w:p>
    <w:p xmlns:wp14="http://schemas.microsoft.com/office/word/2010/wordml" w:rsidR="007C0BCF" w:rsidRDefault="007C0BCF" w14:paraId="02EB378F" wp14:textId="77777777">
      <w:pPr>
        <w:jc w:val="center"/>
      </w:pPr>
    </w:p>
    <w:p xmlns:wp14="http://schemas.microsoft.com/office/word/2010/wordml" w:rsidR="007C0BCF" w:rsidRDefault="000623D6" w14:paraId="0833C276" wp14:textId="77777777">
      <w:pPr>
        <w:jc w:val="center"/>
        <w:rPr>
          <w:sz w:val="36"/>
          <w:szCs w:val="36"/>
        </w:rPr>
      </w:pPr>
      <w:r>
        <w:rPr>
          <w:sz w:val="36"/>
          <w:szCs w:val="36"/>
        </w:rPr>
        <w:t>Applying Semi-Supervised Learning Methods to Survival Analysis</w:t>
      </w:r>
    </w:p>
    <w:p xmlns:wp14="http://schemas.microsoft.com/office/word/2010/wordml" w:rsidR="007C0BCF" w:rsidRDefault="007C0BCF" w14:paraId="6A05A809" wp14:textId="77777777">
      <w:pPr>
        <w:jc w:val="both"/>
      </w:pPr>
    </w:p>
    <w:p xmlns:wp14="http://schemas.microsoft.com/office/word/2010/wordml" w:rsidR="007C0BCF" w:rsidRDefault="000623D6" w14:paraId="7A154603" wp14:textId="77777777">
      <w:pPr>
        <w:spacing w:before="240" w:after="240"/>
        <w:jc w:val="both"/>
      </w:pPr>
      <w:r w:rsidRPr="0CC7BF46" w:rsidR="000623D6">
        <w:rPr>
          <w:lang w:val="en-US"/>
        </w:rPr>
        <w:t xml:space="preserve">Survival analysis is a core </w:t>
      </w:r>
      <w:r w:rsidRPr="0CC7BF46" w:rsidR="000623D6">
        <w:rPr>
          <w:lang w:val="en-US"/>
        </w:rPr>
        <w:t>methodology</w:t>
      </w:r>
      <w:r w:rsidRPr="0CC7BF46" w:rsidR="000623D6">
        <w:rPr>
          <w:lang w:val="en-US"/>
        </w:rPr>
        <w:t xml:space="preserve"> in statistics and machine learning, focusing on predicting the time until an event of interest occurs. In many real-world scenarios, such as loan repayment or medical studies, only a fraction of the entities </w:t>
      </w:r>
      <w:r w:rsidRPr="0CC7BF46" w:rsidR="000623D6">
        <w:rPr>
          <w:lang w:val="en-US"/>
        </w:rPr>
        <w:t>have</w:t>
      </w:r>
      <w:r w:rsidRPr="0CC7BF46" w:rsidR="000623D6">
        <w:rPr>
          <w:lang w:val="en-US"/>
        </w:rPr>
        <w:t xml:space="preserve"> fully </w:t>
      </w:r>
      <w:r w:rsidRPr="0CC7BF46" w:rsidR="000623D6">
        <w:rPr>
          <w:lang w:val="en-US"/>
        </w:rPr>
        <w:t>observed</w:t>
      </w:r>
      <w:r w:rsidRPr="0CC7BF46" w:rsidR="000623D6">
        <w:rPr>
          <w:lang w:val="en-US"/>
        </w:rPr>
        <w:t xml:space="preserve"> outcomes, while the majority remain censored or unlabeled. Traditional supervised models cannot fully exploit such incomplete data, which leads to limited predictive power. This thesis explores how semi-supervised learning techniques can be int</w:t>
      </w:r>
      <w:r w:rsidRPr="0CC7BF46" w:rsidR="000623D6">
        <w:rPr>
          <w:lang w:val="en-US"/>
        </w:rPr>
        <w:t xml:space="preserve">egrated into survival analysis tasks to </w:t>
      </w:r>
      <w:r w:rsidRPr="0CC7BF46" w:rsidR="000623D6">
        <w:rPr>
          <w:lang w:val="en-US"/>
        </w:rPr>
        <w:t>leverage</w:t>
      </w:r>
      <w:r w:rsidRPr="0CC7BF46" w:rsidR="000623D6">
        <w:rPr>
          <w:lang w:val="en-US"/>
        </w:rPr>
        <w:t xml:space="preserve"> censored and unlabeled data. The research builds upon publicly available, large-scale financial and healthcare datasets. The </w:t>
      </w:r>
      <w:r w:rsidRPr="0CC7BF46" w:rsidR="000623D6">
        <w:rPr>
          <w:lang w:val="en-US"/>
        </w:rPr>
        <w:t>objective</w:t>
      </w:r>
      <w:r w:rsidRPr="0CC7BF46" w:rsidR="000623D6">
        <w:rPr>
          <w:lang w:val="en-US"/>
        </w:rPr>
        <w:t xml:space="preserve"> is to </w:t>
      </w:r>
      <w:r w:rsidRPr="0CC7BF46" w:rsidR="000623D6">
        <w:rPr>
          <w:lang w:val="en-US"/>
        </w:rPr>
        <w:t>determine</w:t>
      </w:r>
      <w:r w:rsidRPr="0CC7BF46" w:rsidR="000623D6">
        <w:rPr>
          <w:lang w:val="en-US"/>
        </w:rPr>
        <w:t xml:space="preserve"> whether prediction accuracy and robustness can be improved by incorporating methods that effectively </w:t>
      </w:r>
      <w:r w:rsidRPr="0CC7BF46" w:rsidR="000623D6">
        <w:rPr>
          <w:lang w:val="en-US"/>
        </w:rPr>
        <w:t>utilize</w:t>
      </w:r>
      <w:r w:rsidRPr="0CC7BF46" w:rsidR="000623D6">
        <w:rPr>
          <w:lang w:val="en-US"/>
        </w:rPr>
        <w:t xml:space="preserve"> censored and partially labeled samples.</w:t>
      </w:r>
    </w:p>
    <w:p xmlns:wp14="http://schemas.microsoft.com/office/word/2010/wordml" w:rsidR="007C0BCF" w:rsidRDefault="000623D6" w14:paraId="7C498F3C" wp14:textId="77777777">
      <w:pPr>
        <w:spacing w:before="240" w:after="240"/>
      </w:pPr>
      <w:r>
        <w:t>The following subtasks should be elaborated by the candidate:</w:t>
      </w:r>
    </w:p>
    <w:p xmlns:wp14="http://schemas.microsoft.com/office/word/2010/wordml" w:rsidR="007C0BCF" w:rsidRDefault="000623D6" w14:paraId="4724F422" wp14:textId="77777777">
      <w:pPr>
        <w:numPr>
          <w:ilvl w:val="0"/>
          <w:numId w:val="1"/>
        </w:numPr>
        <w:jc w:val="both"/>
      </w:pPr>
      <w:r>
        <w:rPr>
          <w:b/>
        </w:rPr>
        <w:t xml:space="preserve">Conduct </w:t>
      </w:r>
      <w:r>
        <w:t>a thorough literature review on survival analysis, censored data handling, and semi-supervised learning techniques.</w:t>
      </w:r>
    </w:p>
    <w:p xmlns:wp14="http://schemas.microsoft.com/office/word/2010/wordml" w:rsidR="007C0BCF" w:rsidRDefault="000623D6" w14:paraId="49902199" wp14:textId="77777777">
      <w:pPr>
        <w:numPr>
          <w:ilvl w:val="0"/>
          <w:numId w:val="1"/>
        </w:numPr>
        <w:jc w:val="both"/>
      </w:pPr>
      <w:r>
        <w:rPr>
          <w:b/>
        </w:rPr>
        <w:t xml:space="preserve">Preprocess </w:t>
      </w:r>
      <w:r>
        <w:t>the selected datasets (financial, healthcare) to prepare for modeling.</w:t>
      </w:r>
    </w:p>
    <w:p xmlns:wp14="http://schemas.microsoft.com/office/word/2010/wordml" w:rsidR="007C0BCF" w:rsidRDefault="000623D6" w14:paraId="3E25638D" wp14:textId="77777777">
      <w:pPr>
        <w:numPr>
          <w:ilvl w:val="0"/>
          <w:numId w:val="1"/>
        </w:numPr>
        <w:jc w:val="both"/>
        <w:rPr/>
      </w:pPr>
      <w:r w:rsidRPr="0CC7BF46" w:rsidR="000623D6">
        <w:rPr>
          <w:b w:val="1"/>
          <w:bCs w:val="1"/>
          <w:lang w:val="en-US"/>
        </w:rPr>
        <w:t xml:space="preserve">Implement </w:t>
      </w:r>
      <w:r w:rsidRPr="0CC7BF46" w:rsidR="000623D6">
        <w:rPr>
          <w:lang w:val="en-US"/>
        </w:rPr>
        <w:t xml:space="preserve">baseline supervised survival models (e.g., </w:t>
      </w:r>
      <w:r w:rsidRPr="0CC7BF46" w:rsidR="000623D6">
        <w:rPr>
          <w:lang w:val="en-US"/>
        </w:rPr>
        <w:t>DeepSurv</w:t>
      </w:r>
      <w:r w:rsidRPr="0CC7BF46" w:rsidR="000623D6">
        <w:rPr>
          <w:lang w:val="en-US"/>
        </w:rPr>
        <w:t xml:space="preserve">, </w:t>
      </w:r>
      <w:r w:rsidRPr="0CC7BF46" w:rsidR="000623D6">
        <w:rPr>
          <w:lang w:val="en-US"/>
        </w:rPr>
        <w:t>DeepHit</w:t>
      </w:r>
      <w:r w:rsidRPr="0CC7BF46" w:rsidR="000623D6">
        <w:rPr>
          <w:lang w:val="en-US"/>
        </w:rPr>
        <w:t xml:space="preserve">) to </w:t>
      </w:r>
      <w:r w:rsidRPr="0CC7BF46" w:rsidR="000623D6">
        <w:rPr>
          <w:lang w:val="en-US"/>
        </w:rPr>
        <w:t>establish</w:t>
      </w:r>
      <w:r w:rsidRPr="0CC7BF46" w:rsidR="000623D6">
        <w:rPr>
          <w:lang w:val="en-US"/>
        </w:rPr>
        <w:t xml:space="preserve"> benchmarks.</w:t>
      </w:r>
    </w:p>
    <w:p xmlns:wp14="http://schemas.microsoft.com/office/word/2010/wordml" w:rsidR="007C0BCF" w:rsidRDefault="000623D6" w14:paraId="43AD8F1D" wp14:textId="77777777">
      <w:pPr>
        <w:numPr>
          <w:ilvl w:val="0"/>
          <w:numId w:val="1"/>
        </w:numPr>
        <w:jc w:val="both"/>
        <w:rPr/>
      </w:pPr>
      <w:r w:rsidRPr="0CC7BF46" w:rsidR="000623D6">
        <w:rPr>
          <w:b w:val="1"/>
          <w:bCs w:val="1"/>
          <w:lang w:val="en-US"/>
        </w:rPr>
        <w:t xml:space="preserve">Adapt </w:t>
      </w:r>
      <w:r w:rsidRPr="0CC7BF46" w:rsidR="000623D6">
        <w:rPr>
          <w:lang w:val="en-US"/>
        </w:rPr>
        <w:t>semi-supervised learning techniques (</w:t>
      </w:r>
      <w:r w:rsidRPr="0CC7BF46" w:rsidR="000623D6">
        <w:rPr>
          <w:lang w:val="en-US"/>
        </w:rPr>
        <w:t>e.g.</w:t>
      </w:r>
      <w:r w:rsidRPr="0CC7BF46" w:rsidR="000623D6">
        <w:rPr>
          <w:lang w:val="en-US"/>
        </w:rPr>
        <w:t xml:space="preserve"> pseudo-labeling, graph neural networks) for survival analysis.</w:t>
      </w:r>
    </w:p>
    <w:p xmlns:wp14="http://schemas.microsoft.com/office/word/2010/wordml" w:rsidR="007C0BCF" w:rsidRDefault="000623D6" w14:paraId="0F7EA182" wp14:textId="77777777">
      <w:pPr>
        <w:numPr>
          <w:ilvl w:val="0"/>
          <w:numId w:val="1"/>
        </w:numPr>
        <w:jc w:val="both"/>
        <w:rPr/>
      </w:pPr>
      <w:r w:rsidRPr="0CC7BF46" w:rsidR="000623D6">
        <w:rPr>
          <w:b w:val="1"/>
          <w:bCs w:val="1"/>
          <w:lang w:val="en-US"/>
        </w:rPr>
        <w:t xml:space="preserve">Evaluate </w:t>
      </w:r>
      <w:r w:rsidRPr="0CC7BF46" w:rsidR="000623D6">
        <w:rPr>
          <w:lang w:val="en-US"/>
        </w:rPr>
        <w:t xml:space="preserve">the performance of supervised and semi-supervised methods using </w:t>
      </w:r>
      <w:r w:rsidRPr="0CC7BF46" w:rsidR="000623D6">
        <w:rPr>
          <w:lang w:val="en-US"/>
        </w:rPr>
        <w:t>appropriate metrics</w:t>
      </w:r>
      <w:r w:rsidRPr="0CC7BF46" w:rsidR="000623D6">
        <w:rPr>
          <w:lang w:val="en-US"/>
        </w:rPr>
        <w:t xml:space="preserve"> and </w:t>
      </w:r>
      <w:r w:rsidRPr="0CC7BF46" w:rsidR="000623D6">
        <w:rPr>
          <w:b w:val="1"/>
          <w:bCs w:val="1"/>
          <w:lang w:val="en-US"/>
        </w:rPr>
        <w:t>visualise</w:t>
      </w:r>
      <w:r w:rsidRPr="0CC7BF46" w:rsidR="000623D6">
        <w:rPr>
          <w:b w:val="1"/>
          <w:bCs w:val="1"/>
          <w:lang w:val="en-US"/>
        </w:rPr>
        <w:t xml:space="preserve"> </w:t>
      </w:r>
      <w:r w:rsidRPr="0CC7BF46" w:rsidR="000623D6">
        <w:rPr>
          <w:lang w:val="en-US"/>
        </w:rPr>
        <w:t>the results.</w:t>
      </w:r>
    </w:p>
    <w:p xmlns:wp14="http://schemas.microsoft.com/office/word/2010/wordml" w:rsidR="007C0BCF" w:rsidRDefault="000623D6" w14:paraId="62E80986" wp14:textId="77777777">
      <w:pPr>
        <w:numPr>
          <w:ilvl w:val="0"/>
          <w:numId w:val="1"/>
        </w:numPr>
        <w:jc w:val="both"/>
      </w:pPr>
      <w:r>
        <w:rPr>
          <w:b/>
        </w:rPr>
        <w:t xml:space="preserve">Document </w:t>
      </w:r>
      <w:r>
        <w:t xml:space="preserve">the entire workflow, </w:t>
      </w:r>
      <w:r>
        <w:rPr>
          <w:b/>
        </w:rPr>
        <w:t xml:space="preserve">publish </w:t>
      </w:r>
      <w:r>
        <w:t xml:space="preserve">an open-source implementation on GitHub, and </w:t>
      </w:r>
      <w:r>
        <w:rPr>
          <w:b/>
        </w:rPr>
        <w:t xml:space="preserve">provide </w:t>
      </w:r>
      <w:r>
        <w:t>reproducible experiments.</w:t>
      </w:r>
    </w:p>
    <w:p xmlns:wp14="http://schemas.microsoft.com/office/word/2010/wordml" w:rsidR="007C0BCF" w:rsidRDefault="007C0BCF" w14:paraId="5A39BBE3" wp14:textId="77777777">
      <w:pPr>
        <w:ind w:left="2268" w:right="-11" w:hanging="2268"/>
        <w:jc w:val="both"/>
        <w:rPr>
          <w:b/>
        </w:rPr>
      </w:pPr>
    </w:p>
    <w:p xmlns:wp14="http://schemas.microsoft.com/office/word/2010/wordml" w:rsidR="007C0BCF" w:rsidRDefault="000623D6" w14:paraId="0D59FF51" wp14:textId="77777777">
      <w:pPr>
        <w:ind w:left="2268" w:right="-11" w:hanging="2268"/>
        <w:jc w:val="both"/>
      </w:pPr>
      <w:r w:rsidRPr="0CC7BF46" w:rsidR="000623D6">
        <w:rPr>
          <w:b w:val="1"/>
          <w:bCs w:val="1"/>
          <w:lang w:val="en-US"/>
        </w:rPr>
        <w:t xml:space="preserve">Supervisor at the </w:t>
      </w:r>
      <w:r w:rsidRPr="0CC7BF46" w:rsidR="000623D6">
        <w:rPr>
          <w:b w:val="1"/>
          <w:bCs w:val="1"/>
          <w:lang w:val="en-US"/>
        </w:rPr>
        <w:t>department:</w:t>
      </w:r>
      <w:r>
        <w:tab/>
      </w:r>
      <w:r w:rsidRPr="0CC7BF46" w:rsidR="000623D6">
        <w:rPr>
          <w:lang w:val="en-US"/>
        </w:rPr>
        <w:t xml:space="preserve">Bálint </w:t>
      </w:r>
      <w:r w:rsidRPr="0CC7BF46" w:rsidR="000623D6">
        <w:rPr>
          <w:lang w:val="en-US"/>
        </w:rPr>
        <w:t>Gyires</w:t>
      </w:r>
      <w:r w:rsidRPr="0CC7BF46" w:rsidR="000623D6">
        <w:rPr>
          <w:lang w:val="en-US"/>
        </w:rPr>
        <w:t>-Tóth PhD</w:t>
      </w:r>
    </w:p>
    <w:p xmlns:wp14="http://schemas.microsoft.com/office/word/2010/wordml" w:rsidR="007C0BCF" w:rsidRDefault="000623D6" w14:paraId="68DC6874" wp14:textId="77777777">
      <w:pPr>
        <w:ind w:left="2268" w:right="-11" w:hanging="2268"/>
        <w:jc w:val="both"/>
      </w:pPr>
      <w:r w:rsidRPr="0CC7BF46" w:rsidR="000623D6">
        <w:rPr>
          <w:b w:val="1"/>
          <w:bCs w:val="1"/>
          <w:lang w:val="en-US"/>
        </w:rPr>
        <w:t>Co-</w:t>
      </w:r>
      <w:r w:rsidRPr="0CC7BF46" w:rsidR="000623D6">
        <w:rPr>
          <w:b w:val="1"/>
          <w:bCs w:val="1"/>
          <w:lang w:val="en-US"/>
        </w:rPr>
        <w:t>supervisor:</w:t>
      </w:r>
      <w:r>
        <w:tab/>
      </w:r>
      <w:r>
        <w:tab/>
      </w:r>
      <w:r>
        <w:tab/>
      </w:r>
      <w:r w:rsidRPr="0CC7BF46" w:rsidR="000623D6">
        <w:rPr>
          <w:lang w:val="en-US"/>
        </w:rPr>
        <w:t>Dániel Unyi</w:t>
      </w:r>
    </w:p>
    <w:p xmlns:wp14="http://schemas.microsoft.com/office/word/2010/wordml" w:rsidR="007C0BCF" w:rsidRDefault="007C0BCF" w14:paraId="41C8F396" wp14:textId="77777777">
      <w:pPr>
        <w:ind w:right="-11"/>
        <w:jc w:val="both"/>
      </w:pPr>
    </w:p>
    <w:p xmlns:wp14="http://schemas.microsoft.com/office/word/2010/wordml" w:rsidR="007C0BCF" w:rsidRDefault="000623D6" w14:paraId="03A854F8" wp14:textId="77777777">
      <w:pPr>
        <w:ind w:right="-11"/>
        <w:jc w:val="both"/>
      </w:pPr>
      <w:r>
        <w:t>Budapest, 19 September 2025</w:t>
      </w:r>
    </w:p>
    <w:p xmlns:wp14="http://schemas.microsoft.com/office/word/2010/wordml" w:rsidR="007C0BCF" w:rsidRDefault="007C0BCF" w14:paraId="72A3D3EC" wp14:textId="77777777">
      <w:pPr>
        <w:ind w:left="5670" w:right="-11"/>
        <w:jc w:val="center"/>
      </w:pPr>
    </w:p>
    <w:p xmlns:wp14="http://schemas.microsoft.com/office/word/2010/wordml" w:rsidR="007C0BCF" w:rsidRDefault="000623D6" w14:paraId="19E71D40" wp14:textId="77777777">
      <w:pPr>
        <w:ind w:left="5670" w:right="-11"/>
        <w:jc w:val="center"/>
      </w:pPr>
      <w:r>
        <w:t xml:space="preserve"> Dr. Pál Varga</w:t>
      </w:r>
    </w:p>
    <w:p xmlns:wp14="http://schemas.microsoft.com/office/word/2010/wordml" w:rsidR="007C0BCF" w:rsidRDefault="000623D6" w14:paraId="5D16B704" wp14:textId="77777777">
      <w:pPr>
        <w:ind w:left="5670" w:right="-11"/>
        <w:jc w:val="center"/>
      </w:pPr>
      <w:r>
        <w:t>head of department</w:t>
      </w:r>
    </w:p>
    <w:sectPr w:rsidR="007C0B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418" w:right="1133" w:bottom="1701" w:left="1134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623D6" w:rsidRDefault="000623D6" w14:paraId="60061E4C" wp14:textId="77777777">
      <w:r>
        <w:separator/>
      </w:r>
    </w:p>
  </w:endnote>
  <w:endnote w:type="continuationSeparator" w:id="0">
    <w:p xmlns:wp14="http://schemas.microsoft.com/office/word/2010/wordml" w:rsidR="000623D6" w:rsidRDefault="000623D6" w14:paraId="44EAFD9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17D3EA0D-FD10-4F60-9EC0-C9FBD2B30C17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w:fontKey="{34B7E387-22B5-4C24-A6E4-970C4E33D55B}" r:id="rId2"/>
    <w:embedBold w:fontKey="{D07F3330-6547-45C3-B02C-36B72AE41695}" r:id="rId3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8119460F-BC06-423D-B739-886444BFB228}" r:id="rId4"/>
  </w:font>
  <w:font w:name="Sendnya">
    <w:panose1 w:val="00000400000000000000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CACEEAA4-CC71-41FC-9664-7576199C7ED6}" r:id="rId5"/>
    <w:embedItalic w:fontKey="{BA1D3E60-E8B2-4E08-8A19-46ADF36E3C1D}" r:id="rId6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4FD8ED1-F4BF-452E-AD52-4F609C1438BE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FEEF6C0-798F-4D98-8330-749FF9E061F5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C0BCF" w:rsidRDefault="007C0BCF" w14:paraId="4B99056E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C0BCF" w:rsidRDefault="007C0BCF" w14:paraId="45FB0818" wp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464" w:type="dxa"/>
      <w:tblInd w:w="0" w:type="dxa"/>
      <w:tblLayout w:type="fixed"/>
      <w:tblLook w:val="04A0" w:firstRow="1" w:lastRow="0" w:firstColumn="1" w:lastColumn="0" w:noHBand="0" w:noVBand="1"/>
    </w:tblPr>
    <w:tblGrid>
      <w:gridCol w:w="4077"/>
      <w:gridCol w:w="1276"/>
      <w:gridCol w:w="4111"/>
    </w:tblGrid>
    <w:tr xmlns:wp14="http://schemas.microsoft.com/office/word/2010/wordml" w:rsidR="007C0BCF" w:rsidTr="0CC7BF46" w14:paraId="7F430FEE" wp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077" w:type="dxa"/>
          <w:tcMar/>
        </w:tcPr>
        <w:p w:rsidR="007C0BCF" w:rsidRDefault="007C0BCF" w14:paraId="049F31CB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ind w:right="-109"/>
            <w:jc w:val="right"/>
            <w:rPr>
              <w:rFonts w:ascii="Garamond" w:hAnsi="Garamond" w:eastAsia="Garamond" w:cs="Garamond"/>
              <w:color w:val="A40303"/>
              <w:sz w:val="18"/>
              <w:szCs w:val="18"/>
            </w:rPr>
          </w:pPr>
        </w:p>
        <w:p w:rsidR="007C0BCF" w:rsidRDefault="000623D6" w14:paraId="510F662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ind w:right="-109"/>
            <w:jc w:val="right"/>
            <w:rPr>
              <w:rFonts w:ascii="Garamond" w:hAnsi="Garamond" w:eastAsia="Garamond" w:cs="Garamond"/>
              <w:color w:val="A40303"/>
              <w:sz w:val="18"/>
              <w:szCs w:val="18"/>
            </w:rPr>
          </w:pPr>
          <w:r>
            <w:rPr>
              <w:rFonts w:ascii="Garamond" w:hAnsi="Garamond" w:eastAsia="Garamond" w:cs="Garamond"/>
              <w:b w:val="0"/>
              <w:color w:val="A40303"/>
              <w:sz w:val="18"/>
              <w:szCs w:val="18"/>
            </w:rPr>
            <w:t>Dept. of Telecommunications and Media Informatics</w:t>
          </w:r>
        </w:p>
        <w:p w:rsidR="007C0BCF" w:rsidRDefault="000623D6" w14:paraId="7CFA29C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ind w:right="-109"/>
            <w:jc w:val="right"/>
            <w:rPr>
              <w:rFonts w:ascii="Garamond" w:hAnsi="Garamond" w:eastAsia="Garamond" w:cs="Garamond"/>
              <w:color w:val="A40303"/>
              <w:sz w:val="18"/>
              <w:szCs w:val="18"/>
            </w:rPr>
          </w:pPr>
          <w:r>
            <w:rPr>
              <w:rFonts w:ascii="Garamond" w:hAnsi="Garamond" w:eastAsia="Garamond" w:cs="Garamond"/>
              <w:b w:val="0"/>
              <w:color w:val="A40303"/>
              <w:sz w:val="18"/>
              <w:szCs w:val="18"/>
            </w:rPr>
            <w:t>Faculty of Electrical Engineering and Informatics</w:t>
          </w:r>
        </w:p>
        <w:p w:rsidR="007C0BCF" w:rsidRDefault="000623D6" w14:paraId="1C33B2D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ind w:right="-109"/>
            <w:jc w:val="right"/>
            <w:rPr>
              <w:color w:val="000000"/>
            </w:rPr>
          </w:pPr>
          <w:r>
            <w:rPr>
              <w:rFonts w:ascii="Garamond" w:hAnsi="Garamond" w:eastAsia="Garamond" w:cs="Garamond"/>
              <w:b w:val="0"/>
              <w:color w:val="A40303"/>
              <w:sz w:val="18"/>
              <w:szCs w:val="18"/>
            </w:rPr>
            <w:t>Budapest University of Technology and Economics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tcMar/>
        </w:tcPr>
        <w:p w:rsidR="007C0BCF" w:rsidRDefault="000623D6" w14:paraId="5312826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00000"/>
            </w:rPr>
          </w:pPr>
          <w:r>
            <w:rPr>
              <w:rFonts w:ascii="Calibri" w:hAnsi="Calibri" w:eastAsia="Calibri" w:cs="Calibri"/>
              <w:b w:val="0"/>
              <w:color w:val="000000"/>
            </w:rPr>
            <w:object w:dxaOrig="2280" w:dyaOrig="2385" w14:anchorId="16E0CCA9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025" style="width:46.5pt;height:49.5pt" type="#_x0000_t75">
                <v:imagedata o:title="" r:id="rId1"/>
              </v:shape>
              <o:OLEObject Type="Embed" ProgID="PBrush" ShapeID="_x0000_i1025" DrawAspect="Content" ObjectID="_1819776742" r:id="rId2"/>
            </w:objec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4111" w:type="dxa"/>
          <w:tcMar/>
        </w:tcPr>
        <w:p w:rsidR="007C0BCF" w:rsidRDefault="007C0BCF" w14:paraId="62486C0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Garamond" w:hAnsi="Garamond" w:eastAsia="Garamond" w:cs="Garamond"/>
              <w:color w:val="A40303"/>
              <w:sz w:val="18"/>
              <w:szCs w:val="18"/>
            </w:rPr>
          </w:pPr>
        </w:p>
        <w:p w:rsidR="007C0BCF" w:rsidP="0CC7BF46" w:rsidRDefault="000623D6" w14:paraId="375BB7CC" wp14:textId="77777777">
          <w:pPr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tabs>
              <w:tab w:val="center" w:pos="4536"/>
              <w:tab w:val="right" w:pos="9072"/>
            </w:tabs>
            <w:ind w:left="-104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Garamond" w:hAnsi="Garamond" w:eastAsia="Garamond" w:cs="Garamond"/>
              <w:color w:val="A40303"/>
              <w:sz w:val="18"/>
              <w:szCs w:val="18"/>
              <w:lang w:val="en-US"/>
            </w:rPr>
          </w:pPr>
          <w:r w:rsidRPr="0CC7BF46" w:rsidR="0CC7BF46">
            <w:rPr>
              <w:rFonts w:ascii="Garamond" w:hAnsi="Garamond" w:eastAsia="Garamond" w:cs="Garamond"/>
              <w:b w:val="0"/>
              <w:bCs w:val="0"/>
              <w:color w:val="A40303"/>
              <w:sz w:val="18"/>
              <w:szCs w:val="18"/>
              <w:lang w:val="en-US"/>
            </w:rPr>
            <w:t xml:space="preserve">H-1117 Budapest, Magyar </w:t>
          </w:r>
          <w:r w:rsidRPr="0CC7BF46" w:rsidR="0CC7BF46">
            <w:rPr>
              <w:rFonts w:ascii="Garamond" w:hAnsi="Garamond" w:eastAsia="Garamond" w:cs="Garamond"/>
              <w:b w:val="0"/>
              <w:bCs w:val="0"/>
              <w:color w:val="A40303"/>
              <w:sz w:val="18"/>
              <w:szCs w:val="18"/>
              <w:lang w:val="en-US"/>
            </w:rPr>
            <w:t>tudósok</w:t>
          </w:r>
          <w:r w:rsidRPr="0CC7BF46" w:rsidR="0CC7BF46">
            <w:rPr>
              <w:rFonts w:ascii="Garamond" w:hAnsi="Garamond" w:eastAsia="Garamond" w:cs="Garamond"/>
              <w:b w:val="0"/>
              <w:bCs w:val="0"/>
              <w:color w:val="A40303"/>
              <w:sz w:val="18"/>
              <w:szCs w:val="18"/>
              <w:lang w:val="en-US"/>
            </w:rPr>
            <w:t xml:space="preserve"> </w:t>
          </w:r>
          <w:r w:rsidRPr="0CC7BF46" w:rsidR="0CC7BF46">
            <w:rPr>
              <w:rFonts w:ascii="Garamond" w:hAnsi="Garamond" w:eastAsia="Garamond" w:cs="Garamond"/>
              <w:b w:val="0"/>
              <w:bCs w:val="0"/>
              <w:color w:val="A40303"/>
              <w:sz w:val="18"/>
              <w:szCs w:val="18"/>
              <w:lang w:val="en-US"/>
            </w:rPr>
            <w:t>krt</w:t>
          </w:r>
          <w:r w:rsidRPr="0CC7BF46" w:rsidR="0CC7BF46">
            <w:rPr>
              <w:rFonts w:ascii="Garamond" w:hAnsi="Garamond" w:eastAsia="Garamond" w:cs="Garamond"/>
              <w:b w:val="0"/>
              <w:bCs w:val="0"/>
              <w:color w:val="A40303"/>
              <w:sz w:val="18"/>
              <w:szCs w:val="18"/>
              <w:lang w:val="en-US"/>
            </w:rPr>
            <w:t>. 2.</w:t>
          </w:r>
        </w:p>
        <w:p w:rsidR="007C0BCF" w:rsidRDefault="000623D6" w14:paraId="4DB555F4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ind w:left="-104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Garamond" w:hAnsi="Garamond" w:eastAsia="Garamond" w:cs="Garamond"/>
              <w:color w:val="A40303"/>
              <w:sz w:val="18"/>
              <w:szCs w:val="18"/>
            </w:rPr>
          </w:pPr>
          <w:r>
            <w:rPr>
              <w:rFonts w:ascii="Garamond" w:hAnsi="Garamond" w:eastAsia="Garamond" w:cs="Garamond"/>
              <w:b w:val="0"/>
              <w:color w:val="A40303"/>
              <w:sz w:val="18"/>
              <w:szCs w:val="18"/>
            </w:rPr>
            <w:t>Phone: +36 1 463 2401 – Web: http://www.tmit.bme.hu</w:t>
          </w:r>
        </w:p>
        <w:p w:rsidR="007C0BCF" w:rsidRDefault="000623D6" w14:paraId="6E7B093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ind w:left="-104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Garamond" w:hAnsi="Garamond" w:eastAsia="Garamond" w:cs="Garamond"/>
              <w:color w:val="000000"/>
              <w:sz w:val="18"/>
              <w:szCs w:val="18"/>
            </w:rPr>
          </w:pPr>
          <w:r>
            <w:rPr>
              <w:rFonts w:ascii="Garamond" w:hAnsi="Garamond" w:eastAsia="Garamond" w:cs="Garamond"/>
              <w:b w:val="0"/>
              <w:color w:val="A40303"/>
              <w:sz w:val="18"/>
              <w:szCs w:val="18"/>
            </w:rPr>
            <w:t xml:space="preserve">E-mail: pvarga@tmit.bme.hu </w:t>
          </w:r>
        </w:p>
      </w:tc>
    </w:tr>
  </w:tbl>
  <w:p xmlns:wp14="http://schemas.microsoft.com/office/word/2010/wordml" w:rsidR="007C0BCF" w:rsidRDefault="007C0BCF" w14:paraId="4101652C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C0BCF" w:rsidRDefault="007C0BCF" w14:paraId="0E27B00A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623D6" w:rsidRDefault="000623D6" w14:paraId="3DEEC669" wp14:textId="77777777">
      <w:r>
        <w:separator/>
      </w:r>
    </w:p>
  </w:footnote>
  <w:footnote w:type="continuationSeparator" w:id="0">
    <w:p xmlns:wp14="http://schemas.microsoft.com/office/word/2010/wordml" w:rsidR="000623D6" w:rsidRDefault="000623D6" w14:paraId="3656B9AB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C0BCF" w:rsidRDefault="007C0BCF" w14:paraId="0D0B940D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C0BCF" w:rsidRDefault="000623D6" w14:paraId="1299C43A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4820"/>
        <w:tab w:val="right" w:pos="9639"/>
      </w:tabs>
      <w:jc w:val="center"/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0" distR="0" wp14:anchorId="24EB00C9" wp14:editId="7777777">
          <wp:extent cx="2514600" cy="711738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4600" cy="7117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C0BCF" w:rsidRDefault="007C0BCF" w14:paraId="4B94D5A5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63216"/>
    <w:multiLevelType w:val="multilevel"/>
    <w:tmpl w:val="FFFFFFFF"/>
    <w:lvl w:ilvl="0">
      <w:start w:val="1"/>
      <w:numFmt w:val="bullet"/>
      <w:pStyle w:val="Bulletlista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5891221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BCF"/>
    <w:rsid w:val="000623D6"/>
    <w:rsid w:val="00790270"/>
    <w:rsid w:val="007C0BCF"/>
    <w:rsid w:val="0CC7B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C19031"/>
  <w15:docId w15:val="{EF1B1849-49C5-4A5A-94CB-05D87C9B97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240" w:after="60" w:line="360" w:lineRule="auto"/>
      <w:ind w:firstLine="709"/>
      <w:jc w:val="center"/>
    </w:pPr>
    <w:rPr>
      <w:rFonts w:ascii="Arial" w:hAnsi="Arial" w:eastAsia="Arial" w:cs="Arial"/>
      <w:b/>
      <w:sz w:val="32"/>
      <w:szCs w:val="32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rsid w:val="00834E2E"/>
    <w:pPr>
      <w:spacing w:after="120" w:line="360" w:lineRule="auto"/>
      <w:ind w:firstLine="709"/>
      <w:jc w:val="both"/>
    </w:pPr>
    <w:rPr>
      <w:rFonts w:ascii="Garamond" w:hAnsi="Garamond" w:cs="Garamond"/>
    </w:rPr>
  </w:style>
  <w:style w:type="paragraph" w:styleId="Bulletlista" w:customStyle="1">
    <w:name w:val="Bullet lista"/>
    <w:rsid w:val="00834E2E"/>
    <w:pPr>
      <w:numPr>
        <w:numId w:val="1"/>
      </w:numPr>
      <w:spacing w:after="120"/>
      <w:jc w:val="both"/>
    </w:pPr>
  </w:style>
  <w:style w:type="paragraph" w:styleId="Dokumentumtrkp">
    <w:name w:val="Document Map"/>
    <w:link w:val="DokumentumtrkpChar"/>
    <w:uiPriority w:val="99"/>
    <w:semiHidden/>
    <w:unhideWhenUsed/>
    <w:rsid w:val="006941DF"/>
    <w:rPr>
      <w:rFonts w:ascii="Tahoma" w:hAnsi="Tahoma" w:cs="Tahoma"/>
      <w:sz w:val="16"/>
      <w:szCs w:val="16"/>
    </w:rPr>
  </w:style>
  <w:style w:type="character" w:styleId="DokumentumtrkpChar" w:customStyle="1">
    <w:name w:val="Dokumentumtérkép Char"/>
    <w:link w:val="Dokumentumtrkp"/>
    <w:uiPriority w:val="99"/>
    <w:semiHidden/>
    <w:rsid w:val="006941DF"/>
    <w:rPr>
      <w:rFonts w:ascii="Tahoma" w:hAnsi="Tahoma" w:cs="Tahoma"/>
      <w:sz w:val="16"/>
      <w:szCs w:val="16"/>
      <w:lang w:eastAsia="en-US"/>
    </w:rPr>
  </w:style>
  <w:style w:type="paragraph" w:styleId="lfej">
    <w:name w:val="header"/>
    <w:rsid w:val="00BD2D9E"/>
    <w:pPr>
      <w:tabs>
        <w:tab w:val="center" w:pos="4536"/>
        <w:tab w:val="right" w:pos="9072"/>
      </w:tabs>
    </w:pPr>
  </w:style>
  <w:style w:type="paragraph" w:styleId="llb">
    <w:name w:val="footer"/>
    <w:link w:val="llbChar"/>
    <w:uiPriority w:val="99"/>
    <w:rsid w:val="00BD2D9E"/>
    <w:pPr>
      <w:tabs>
        <w:tab w:val="center" w:pos="4536"/>
        <w:tab w:val="right" w:pos="9072"/>
      </w:tabs>
    </w:pPr>
  </w:style>
  <w:style w:type="paragraph" w:styleId="Buborkszveg">
    <w:name w:val="Balloon Text"/>
    <w:link w:val="BuborkszvegChar"/>
    <w:uiPriority w:val="99"/>
    <w:semiHidden/>
    <w:unhideWhenUsed/>
    <w:rsid w:val="00B2012B"/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B2012B"/>
    <w:rPr>
      <w:rFonts w:ascii="Tahoma" w:hAnsi="Tahoma" w:cs="Tahoma"/>
      <w:sz w:val="16"/>
      <w:szCs w:val="16"/>
      <w:lang w:eastAsia="en-US"/>
    </w:rPr>
  </w:style>
  <w:style w:type="table" w:styleId="Rcsostblzat">
    <w:name w:val="Table Grid"/>
    <w:basedOn w:val="Normltblzat"/>
    <w:uiPriority w:val="59"/>
    <w:rsid w:val="00CB6C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hivatkozs">
    <w:name w:val="Hyperlink"/>
    <w:basedOn w:val="Bekezdsalapbettpusa"/>
    <w:uiPriority w:val="99"/>
    <w:unhideWhenUsed/>
    <w:rsid w:val="002E4E2C"/>
    <w:rPr>
      <w:color w:val="0000FF" w:themeColor="hyperlink"/>
      <w:u w:val="single"/>
    </w:rPr>
  </w:style>
  <w:style w:type="character" w:styleId="Feloldatlanmegemlts1" w:customStyle="1">
    <w:name w:val="Feloldatlan megemlítés1"/>
    <w:basedOn w:val="Bekezdsalapbettpusa"/>
    <w:uiPriority w:val="99"/>
    <w:semiHidden/>
    <w:unhideWhenUsed/>
    <w:rsid w:val="00603058"/>
    <w:rPr>
      <w:color w:val="808080"/>
      <w:shd w:val="clear" w:color="auto" w:fill="E6E6E6"/>
    </w:rPr>
  </w:style>
  <w:style w:type="character" w:styleId="llbChar" w:customStyle="1">
    <w:name w:val="Élőláb Char"/>
    <w:basedOn w:val="Bekezdsalapbettpusa"/>
    <w:link w:val="llb"/>
    <w:uiPriority w:val="99"/>
    <w:rsid w:val="00626340"/>
    <w:rPr>
      <w:rFonts w:cs="Sendnya"/>
      <w:sz w:val="24"/>
      <w:szCs w:val="24"/>
      <w:lang w:eastAsia="en-US"/>
    </w:rPr>
  </w:style>
  <w:style w:type="table" w:styleId="Tblzategyszer41" w:customStyle="1">
    <w:name w:val="Táblázat (egyszerű) 41"/>
    <w:basedOn w:val="Normltblzat"/>
    <w:uiPriority w:val="44"/>
    <w:rsid w:val="006263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i-provider" w:customStyle="1">
    <w:name w:val="ui-provider"/>
    <w:basedOn w:val="Bekezdsalapbettpusa"/>
    <w:rsid w:val="00F87A35"/>
  </w:style>
  <w:style w:type="table" w:styleId="a" w:customStyle="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0" w:customStyle="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cyrnAbdyUec2/SEbpu0RvmSRQ==">CgMxLjA4AHIhMWNMLU9rOXI5eldGUlRLaF9xN2VHSFR1NEpUNV9YbG1p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Dr. Tevesz Gábor</dc:creator>
  <lastModifiedBy>Unyi Dániel</lastModifiedBy>
  <revision>2</revision>
  <dcterms:created xsi:type="dcterms:W3CDTF">2025-09-19T15:46:00.0000000Z</dcterms:created>
  <dcterms:modified xsi:type="dcterms:W3CDTF">2025-09-19T15:46:45.7273349Z</dcterms:modified>
</coreProperties>
</file>