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0AC0C6CF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202</w:t>
      </w:r>
      <w:r w:rsidR="00E81177" w:rsidRPr="00FE4B16">
        <w:rPr>
          <w:rFonts w:ascii="Times New Roman" w:hAnsi="Times New Roman" w:cs="Times New Roman"/>
        </w:rPr>
        <w:t>2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6E52F8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Learning and memory, sustained and selective attention, cognitive and brain development, neural plasticity, neuromodulators (acetylcholine, norepinephrine), effort, academic outcomes, socioeconomic status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48F83BEF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Awards, Scholarships</w:t>
      </w:r>
      <w:r w:rsidR="009A374D">
        <w:rPr>
          <w:rFonts w:ascii="Times New Roman" w:hAnsi="Times New Roman" w:cs="Times New Roman"/>
          <w:b/>
          <w:bCs/>
          <w:lang w:val="en-US"/>
        </w:rPr>
        <w:t>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013BE006" w14:textId="3378EB6C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Flux Travel Award</w:t>
      </w:r>
      <w:r>
        <w:rPr>
          <w:rFonts w:ascii="Times New Roman" w:hAnsi="Times New Roman" w:cs="Times New Roman"/>
          <w:lang w:val="en-US"/>
        </w:rPr>
        <w:tab/>
        <w:t>(Conference Registration + $500)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2024</w:t>
      </w:r>
    </w:p>
    <w:p w14:paraId="4276F974" w14:textId="77777777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</w:p>
    <w:p w14:paraId="523E7656" w14:textId="16E24348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7600B6AD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46D005C6" w:rsidR="00E4588A" w:rsidRDefault="0007045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E4588A" w:rsidRPr="00FE4B16">
        <w:rPr>
          <w:rFonts w:ascii="Times New Roman" w:hAnsi="Times New Roman" w:cs="Times New Roman"/>
        </w:rPr>
        <w:t xml:space="preserve">equal contributions </w:t>
      </w:r>
    </w:p>
    <w:p w14:paraId="523893E0" w14:textId="77777777" w:rsidR="000D1505" w:rsidRDefault="000D1505" w:rsidP="006D049C">
      <w:pPr>
        <w:ind w:left="283"/>
        <w:rPr>
          <w:rFonts w:ascii="Times New Roman" w:hAnsi="Times New Roman" w:cs="Times New Roman"/>
        </w:rPr>
      </w:pPr>
    </w:p>
    <w:p w14:paraId="5F6FF205" w14:textId="3CE846C3" w:rsidR="000D1505" w:rsidRPr="00FE4B16" w:rsidRDefault="000D1505" w:rsidP="000D1505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Treves, I., </w:t>
      </w:r>
      <w:proofErr w:type="spellStart"/>
      <w:r w:rsidRPr="00FE4B16">
        <w:rPr>
          <w:rFonts w:ascii="Times New Roman" w:hAnsi="Times New Roman" w:cs="Times New Roman"/>
        </w:rPr>
        <w:t>Marusak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r w:rsidRPr="00FE4B16">
        <w:rPr>
          <w:rFonts w:ascii="Times New Roman" w:hAnsi="Times New Roman" w:cs="Times New Roman"/>
          <w:b/>
          <w:bCs/>
        </w:rPr>
        <w:t>Decker, A</w:t>
      </w:r>
      <w:r w:rsidRPr="00FE4B16">
        <w:rPr>
          <w:rFonts w:ascii="Times New Roman" w:hAnsi="Times New Roman" w:cs="Times New Roman"/>
        </w:rPr>
        <w:t xml:space="preserve">., Calhoun, V.,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J.E.D. </w:t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  <w:t>Dynamic functional connectivity correlates of trait mindfulness in early adolescence. (</w:t>
      </w:r>
      <w:r w:rsidR="00C26B1B">
        <w:rPr>
          <w:rFonts w:ascii="Times New Roman" w:hAnsi="Times New Roman" w:cs="Times New Roman"/>
          <w:i/>
          <w:iCs/>
        </w:rPr>
        <w:t>In Press</w:t>
      </w:r>
      <w:r w:rsidR="00543375">
        <w:rPr>
          <w:rFonts w:ascii="Times New Roman" w:hAnsi="Times New Roman" w:cs="Times New Roman"/>
          <w:i/>
          <w:iCs/>
        </w:rPr>
        <w:t xml:space="preserve"> at</w:t>
      </w:r>
      <w:r>
        <w:rPr>
          <w:rFonts w:ascii="Times New Roman" w:hAnsi="Times New Roman" w:cs="Times New Roman"/>
          <w:i/>
          <w:iCs/>
        </w:rPr>
        <w:t xml:space="preserve"> Biological Psychiatry: Global Open Science</w:t>
      </w:r>
      <w:r w:rsidRPr="00FE4B16">
        <w:rPr>
          <w:rFonts w:ascii="Times New Roman" w:hAnsi="Times New Roman" w:cs="Times New Roman"/>
        </w:rPr>
        <w:t>)</w:t>
      </w:r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6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9944532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>Hurtado, H.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>, Hansen, M.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>, J.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7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7D281DBF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>., Duncan, K.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>, &amp; Finn, A. S.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 xml:space="preserve">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8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bookmarkEnd w:id="0"/>
      <w:bookmarkEnd w:id="1"/>
      <w:r w:rsidRPr="006B5D21">
        <w:rPr>
          <w:rFonts w:ascii="Times New Roman" w:hAnsi="Times New Roman" w:cs="Times New Roman"/>
          <w:color w:val="000000" w:themeColor="text1"/>
          <w:lang w:val="en-US"/>
        </w:rPr>
        <w:t>, Duncan, K.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&amp; Finn, A. S.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9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0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20DC4BA6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Moxon‐Emre,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on </w:t>
      </w:r>
      <w:proofErr w:type="gramStart"/>
      <w:r w:rsidRPr="00FE4B16">
        <w:rPr>
          <w:rFonts w:ascii="Times New Roman" w:hAnsi="Times New Roman" w:cs="Times New Roman"/>
          <w:lang w:val="en-US"/>
        </w:rPr>
        <w:t>health related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lastRenderedPageBreak/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4CE93377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Manuscripts</w:t>
      </w:r>
      <w:r w:rsidR="000A1742" w:rsidRPr="00FE4B16">
        <w:rPr>
          <w:rFonts w:ascii="Times New Roman" w:hAnsi="Times New Roman" w:cs="Times New Roman"/>
          <w:b/>
          <w:bCs/>
        </w:rPr>
        <w:t xml:space="preserve"> </w:t>
      </w:r>
      <w:r w:rsidR="00F36694">
        <w:rPr>
          <w:rFonts w:ascii="Times New Roman" w:hAnsi="Times New Roman" w:cs="Times New Roman"/>
          <w:b/>
          <w:bCs/>
        </w:rPr>
        <w:t>U</w:t>
      </w:r>
      <w:r w:rsidR="009E07F7" w:rsidRPr="00FE4B16">
        <w:rPr>
          <w:rFonts w:ascii="Times New Roman" w:hAnsi="Times New Roman" w:cs="Times New Roman"/>
          <w:b/>
          <w:bCs/>
        </w:rPr>
        <w:t xml:space="preserve">nder </w:t>
      </w:r>
      <w:r w:rsidR="00F36694">
        <w:rPr>
          <w:rFonts w:ascii="Times New Roman" w:hAnsi="Times New Roman" w:cs="Times New Roman"/>
          <w:b/>
          <w:bCs/>
        </w:rPr>
        <w:t>Re</w:t>
      </w:r>
      <w:r w:rsidR="009E07F7" w:rsidRPr="00FE4B16">
        <w:rPr>
          <w:rFonts w:ascii="Times New Roman" w:hAnsi="Times New Roman" w:cs="Times New Roman"/>
          <w:b/>
          <w:bCs/>
        </w:rPr>
        <w:t>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4AFE02D2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B48A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Under Review at Nature Human Behaviour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2DFEFB87" w14:textId="77777777" w:rsidR="00CD14BF" w:rsidRDefault="00CD14BF" w:rsidP="00AF2229">
      <w:pPr>
        <w:rPr>
          <w:rFonts w:ascii="Times New Roman" w:hAnsi="Times New Roman" w:cs="Times New Roman"/>
        </w:rPr>
      </w:pPr>
    </w:p>
    <w:p w14:paraId="0764DD20" w14:textId="55558B16" w:rsidR="00A57F47" w:rsidRPr="007D13B3" w:rsidRDefault="00A57F47" w:rsidP="007D13B3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 Leonard, J.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>, Romeo, R.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 xml:space="preserve">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="0054438E">
        <w:rPr>
          <w:rFonts w:ascii="Times New Roman" w:hAnsi="Times New Roman" w:cs="Times New Roman"/>
          <w:color w:val="000000" w:themeColor="text1"/>
        </w:rPr>
        <w:t>Exploration Explains Socioeconomic Disparities in Learning and Academic Achievement</w:t>
      </w:r>
      <w:r w:rsidRPr="00FE4B16">
        <w:rPr>
          <w:rFonts w:ascii="Times New Roman" w:hAnsi="Times New Roman" w:cs="Times New Roman"/>
          <w:color w:val="000000" w:themeColor="text1"/>
        </w:rPr>
        <w:t xml:space="preserve"> (</w:t>
      </w:r>
      <w:r w:rsidR="00401E81">
        <w:rPr>
          <w:rFonts w:ascii="Times New Roman" w:hAnsi="Times New Roman" w:cs="Times New Roman"/>
          <w:i/>
          <w:iCs/>
          <w:color w:val="000000" w:themeColor="text1"/>
        </w:rPr>
        <w:t>Under Review at Nature Communications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5CB6BB0F" w14:textId="77777777" w:rsidR="00AB52A6" w:rsidRDefault="00AB52A6" w:rsidP="00AB52A6">
      <w:pPr>
        <w:ind w:left="283"/>
        <w:rPr>
          <w:rFonts w:ascii="Times New Roman" w:hAnsi="Times New Roman" w:cs="Times New Roman"/>
        </w:rPr>
      </w:pPr>
    </w:p>
    <w:p w14:paraId="657C6351" w14:textId="7551CCE1" w:rsidR="00AB52A6" w:rsidRPr="00AB52A6" w:rsidRDefault="00AB52A6" w:rsidP="00AB52A6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F2229">
        <w:rPr>
          <w:rFonts w:ascii="Times New Roman" w:hAnsi="Times New Roman" w:cs="Times New Roman"/>
          <w:lang w:val="en-US"/>
        </w:rPr>
        <w:t>Children’s Darting (Not Diffuse) Attentional Spotlight Reduces Memory Selectivity for Relevant Content</w:t>
      </w:r>
      <w:r w:rsidR="00401E81">
        <w:rPr>
          <w:rFonts w:ascii="Times New Roman" w:hAnsi="Times New Roman" w:cs="Times New Roman"/>
          <w:lang w:val="en-US"/>
        </w:rPr>
        <w:t xml:space="preserve"> (</w:t>
      </w:r>
      <w:r w:rsidR="00401E81" w:rsidRPr="00401E81">
        <w:rPr>
          <w:rFonts w:ascii="Times New Roman" w:hAnsi="Times New Roman" w:cs="Times New Roman"/>
          <w:i/>
          <w:iCs/>
          <w:lang w:val="en-US"/>
        </w:rPr>
        <w:t>Under Review at Psychological Science</w:t>
      </w:r>
      <w:r w:rsidR="00401E81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1C89CE0D" w14:textId="77777777" w:rsidR="008B358B" w:rsidRDefault="008B358B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399F17E8" w14:textId="3EEED8F3" w:rsidR="00D15BC0" w:rsidRPr="00FE4B16" w:rsidRDefault="00D15BC0" w:rsidP="00D15BC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="008B358B">
        <w:rPr>
          <w:rFonts w:ascii="Times New Roman" w:hAnsi="Times New Roman" w:cs="Times New Roman"/>
          <w:lang w:val="en-US"/>
        </w:rPr>
        <w:t>Duncan, K.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8B358B">
        <w:rPr>
          <w:rFonts w:ascii="Times New Roman" w:hAnsi="Times New Roman" w:cs="Times New Roman"/>
          <w:lang w:val="en-US"/>
        </w:rPr>
        <w:t>, Finn, A.S.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 w:rsidR="0098421D">
        <w:rPr>
          <w:rFonts w:ascii="Times New Roman" w:hAnsi="Times New Roman" w:cs="Times New Roman"/>
          <w:lang w:val="en-US"/>
        </w:rPr>
        <w:t>May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B02C57">
        <w:rPr>
          <w:rFonts w:ascii="Times New Roman" w:hAnsi="Times New Roman" w:cs="Times New Roman"/>
          <w:lang w:val="en-US"/>
        </w:rPr>
        <w:t xml:space="preserve">Fluctuations in Sustained Attention Shape Moment-to-Moment Shifts in Children’s Memory Formation. </w:t>
      </w:r>
      <w:r w:rsidR="00C91639">
        <w:rPr>
          <w:rFonts w:ascii="Times New Roman" w:hAnsi="Times New Roman" w:cs="Times New Roman"/>
          <w:lang w:val="en-US"/>
        </w:rPr>
        <w:t xml:space="preserve">Association for Psychological Science </w:t>
      </w:r>
      <w:r w:rsidR="008C5431">
        <w:rPr>
          <w:rFonts w:ascii="Times New Roman" w:hAnsi="Times New Roman" w:cs="Times New Roman"/>
          <w:lang w:val="en-US"/>
        </w:rPr>
        <w:t xml:space="preserve">Annual Convention. San </w:t>
      </w:r>
      <w:proofErr w:type="spellStart"/>
      <w:r w:rsidR="008C5431">
        <w:rPr>
          <w:rFonts w:ascii="Times New Roman" w:hAnsi="Times New Roman" w:cs="Times New Roman"/>
          <w:lang w:val="en-US"/>
        </w:rPr>
        <w:t>Fransisco</w:t>
      </w:r>
      <w:proofErr w:type="spellEnd"/>
      <w:r w:rsidR="008C5431">
        <w:rPr>
          <w:rFonts w:ascii="Times New Roman" w:hAnsi="Times New Roman" w:cs="Times New Roman"/>
          <w:lang w:val="en-US"/>
        </w:rPr>
        <w:t>, CA.</w:t>
      </w:r>
    </w:p>
    <w:p w14:paraId="23A2F368" w14:textId="77777777" w:rsidR="00A10D9D" w:rsidRPr="00FE4B16" w:rsidRDefault="00A10D9D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1128BB74" w14:textId="4363D87B" w:rsidR="005D7F90" w:rsidRPr="00FE4B16" w:rsidRDefault="005D7F90" w:rsidP="005D7F9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Socioeconomic Status Influence Exploration, Learning, and Reward </w:t>
      </w:r>
      <w:r w:rsidR="004574F1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rocessing in Children and Adolescents. </w:t>
      </w:r>
      <w:r w:rsidR="009335FC">
        <w:rPr>
          <w:rFonts w:ascii="Times New Roman" w:hAnsi="Times New Roman" w:cs="Times New Roman"/>
          <w:lang w:val="en-US"/>
        </w:rPr>
        <w:t>The Psychology and Economics of Poverty Meeting. Berkeley, CA.</w:t>
      </w:r>
    </w:p>
    <w:p w14:paraId="10B101D2" w14:textId="77777777" w:rsidR="005D7F90" w:rsidRPr="00FE4B16" w:rsidRDefault="005D7F90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Szulc,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012DF591" w14:textId="77777777" w:rsidR="00901CDC" w:rsidRDefault="00901CDC" w:rsidP="009977AB">
      <w:pPr>
        <w:rPr>
          <w:rFonts w:ascii="Times New Roman" w:hAnsi="Times New Roman" w:cs="Times New Roman"/>
          <w:b/>
          <w:bCs/>
        </w:rPr>
      </w:pPr>
    </w:p>
    <w:p w14:paraId="31CC7E59" w14:textId="0638F6DD" w:rsidR="00466DD6" w:rsidRDefault="00466DD6" w:rsidP="00010B92">
      <w:pPr>
        <w:ind w:left="283"/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 (</w:t>
      </w:r>
      <w:r w:rsidR="00CE6FB6">
        <w:rPr>
          <w:rFonts w:ascii="Times New Roman" w:hAnsi="Times New Roman" w:cs="Times New Roman"/>
        </w:rPr>
        <w:t xml:space="preserve">June </w:t>
      </w:r>
      <w:r w:rsidRPr="00FE4B16">
        <w:rPr>
          <w:rFonts w:ascii="Times New Roman" w:hAnsi="Times New Roman" w:cs="Times New Roman"/>
        </w:rPr>
        <w:t xml:space="preserve">2024). Striatal and Behavioral Responses to Reward Vary by Socioeconomic Status in Adolescents. </w:t>
      </w:r>
      <w:r w:rsidR="003503F5">
        <w:rPr>
          <w:rFonts w:ascii="Times New Roman" w:hAnsi="Times New Roman" w:cs="Times New Roman"/>
        </w:rPr>
        <w:t xml:space="preserve">MIT </w:t>
      </w:r>
      <w:r w:rsidR="00010B92">
        <w:rPr>
          <w:rFonts w:ascii="Times New Roman" w:hAnsi="Times New Roman" w:cs="Times New Roman"/>
        </w:rPr>
        <w:t xml:space="preserve">McGovern Retreat, Newport, </w:t>
      </w:r>
      <w:r w:rsidR="00635227">
        <w:rPr>
          <w:rFonts w:ascii="Times New Roman" w:hAnsi="Times New Roman" w:cs="Times New Roman"/>
        </w:rPr>
        <w:t>RI</w:t>
      </w:r>
      <w:r w:rsidR="00CE6FB6">
        <w:rPr>
          <w:rFonts w:ascii="Times New Roman" w:hAnsi="Times New Roman" w:cs="Times New Roman"/>
        </w:rPr>
        <w:t>.</w:t>
      </w:r>
      <w:r w:rsidR="00010B92">
        <w:rPr>
          <w:rFonts w:ascii="Times New Roman" w:hAnsi="Times New Roman" w:cs="Times New Roman"/>
        </w:rPr>
        <w:t xml:space="preserve"> </w:t>
      </w:r>
    </w:p>
    <w:p w14:paraId="125EF37B" w14:textId="77777777" w:rsidR="00010B92" w:rsidRDefault="00010B92" w:rsidP="00010B92">
      <w:pPr>
        <w:ind w:left="283"/>
        <w:rPr>
          <w:rFonts w:ascii="Times New Roman" w:hAnsi="Times New Roman" w:cs="Times New Roman"/>
          <w:b/>
          <w:bCs/>
        </w:rPr>
      </w:pPr>
    </w:p>
    <w:p w14:paraId="055ADDB4" w14:textId="7BA7369C" w:rsidR="00A10D9D" w:rsidRPr="00FE4B16" w:rsidRDefault="00A10D9D" w:rsidP="00A10D9D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Tandoc</w:t>
      </w:r>
      <w:proofErr w:type="spellEnd"/>
      <w:r>
        <w:rPr>
          <w:rFonts w:ascii="Times New Roman" w:hAnsi="Times New Roman" w:cs="Times New Roman"/>
          <w:lang w:val="en-US"/>
        </w:rPr>
        <w:t>, M., Cho, H., Rebello, G., Duncan, K.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>, Finn, A</w:t>
      </w:r>
      <w:r w:rsidR="00201319">
        <w:rPr>
          <w:rFonts w:ascii="Times New Roman" w:hAnsi="Times New Roman" w:cs="Times New Roman"/>
          <w:lang w:val="en-US"/>
        </w:rPr>
        <w:t>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Darting Not Diffuse: Immature Selective Attention Boosts Memory </w:t>
      </w:r>
      <w:r w:rsidR="00E74BC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Childhood. Cognitive Neuroscience Society. Toronto, Canada </w:t>
      </w:r>
    </w:p>
    <w:p w14:paraId="757E3241" w14:textId="77777777" w:rsidR="00A10D9D" w:rsidRPr="00FE4B16" w:rsidRDefault="00A10D9D" w:rsidP="009977AB">
      <w:pPr>
        <w:rPr>
          <w:rFonts w:ascii="Times New Roman" w:hAnsi="Times New Roman" w:cs="Times New Roman"/>
          <w:b/>
          <w:bCs/>
        </w:rPr>
      </w:pPr>
    </w:p>
    <w:p w14:paraId="6F5EDC02" w14:textId="1676D593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71A3BD54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Chai, X.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Costs of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ognitive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ontrol: Task </w:t>
      </w:r>
      <w:r w:rsidR="00A569DC">
        <w:rPr>
          <w:rFonts w:ascii="Times New Roman" w:hAnsi="Times New Roman" w:cs="Times New Roman"/>
          <w:lang w:val="en-US"/>
        </w:rPr>
        <w:t>S</w:t>
      </w:r>
      <w:r w:rsidRPr="00FE4B16">
        <w:rPr>
          <w:rFonts w:ascii="Times New Roman" w:hAnsi="Times New Roman" w:cs="Times New Roman"/>
          <w:lang w:val="en-US"/>
        </w:rPr>
        <w:t xml:space="preserve">witching </w:t>
      </w:r>
      <w:r w:rsidR="00A569DC">
        <w:rPr>
          <w:rFonts w:ascii="Times New Roman" w:hAnsi="Times New Roman" w:cs="Times New Roman"/>
          <w:lang w:val="en-US"/>
        </w:rPr>
        <w:t>I</w:t>
      </w:r>
      <w:r w:rsidRPr="00FE4B16">
        <w:rPr>
          <w:rFonts w:ascii="Times New Roman" w:hAnsi="Times New Roman" w:cs="Times New Roman"/>
          <w:lang w:val="en-US"/>
        </w:rPr>
        <w:t xml:space="preserve">mpairs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emory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ore in </w:t>
      </w:r>
      <w:r w:rsidR="00A569DC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hildren than </w:t>
      </w:r>
      <w:r w:rsidR="00A569DC">
        <w:rPr>
          <w:rFonts w:ascii="Times New Roman" w:hAnsi="Times New Roman" w:cs="Times New Roman"/>
          <w:lang w:val="en-US"/>
        </w:rPr>
        <w:t>A</w:t>
      </w:r>
      <w:r w:rsidRPr="00FE4B16">
        <w:rPr>
          <w:rFonts w:ascii="Times New Roman" w:hAnsi="Times New Roman" w:cs="Times New Roman"/>
          <w:lang w:val="en-US"/>
        </w:rPr>
        <w:t>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128CDA8D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>, Finn, S. A.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 xml:space="preserve">Shifting </w:t>
      </w:r>
      <w:r w:rsidR="001E4864">
        <w:rPr>
          <w:rFonts w:ascii="Times New Roman" w:hAnsi="Times New Roman" w:cs="Times New Roman"/>
          <w:lang w:val="en-US"/>
        </w:rPr>
        <w:t>F</w:t>
      </w:r>
      <w:r w:rsidR="00A92BC0" w:rsidRPr="00FE4B16">
        <w:rPr>
          <w:rFonts w:ascii="Times New Roman" w:hAnsi="Times New Roman" w:cs="Times New Roman"/>
          <w:lang w:val="en-US"/>
        </w:rPr>
        <w:t xml:space="preserve">ocus: The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dvantage of </w:t>
      </w:r>
      <w:r w:rsidR="001E4864">
        <w:rPr>
          <w:rFonts w:ascii="Times New Roman" w:hAnsi="Times New Roman" w:cs="Times New Roman"/>
          <w:lang w:val="en-US"/>
        </w:rPr>
        <w:t>C</w:t>
      </w:r>
      <w:r w:rsidR="00A92BC0" w:rsidRPr="00FE4B16">
        <w:rPr>
          <w:rFonts w:ascii="Times New Roman" w:hAnsi="Times New Roman" w:cs="Times New Roman"/>
          <w:lang w:val="en-US"/>
        </w:rPr>
        <w:t xml:space="preserve">hildren’s </w:t>
      </w:r>
      <w:r w:rsidR="001E4864">
        <w:rPr>
          <w:rFonts w:ascii="Times New Roman" w:hAnsi="Times New Roman" w:cs="Times New Roman"/>
          <w:lang w:val="en-US"/>
        </w:rPr>
        <w:t>P</w:t>
      </w:r>
      <w:r w:rsidR="00A92BC0" w:rsidRPr="00FE4B16">
        <w:rPr>
          <w:rFonts w:ascii="Times New Roman" w:hAnsi="Times New Roman" w:cs="Times New Roman"/>
          <w:lang w:val="en-US"/>
        </w:rPr>
        <w:t xml:space="preserve">oor </w:t>
      </w:r>
      <w:r w:rsidR="001E4864">
        <w:rPr>
          <w:rFonts w:ascii="Times New Roman" w:hAnsi="Times New Roman" w:cs="Times New Roman"/>
          <w:lang w:val="en-US"/>
        </w:rPr>
        <w:t>S</w:t>
      </w:r>
      <w:r w:rsidR="00A92BC0" w:rsidRPr="00FE4B16">
        <w:rPr>
          <w:rFonts w:ascii="Times New Roman" w:hAnsi="Times New Roman" w:cs="Times New Roman"/>
          <w:lang w:val="en-US"/>
        </w:rPr>
        <w:t xml:space="preserve">elective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ttention for </w:t>
      </w:r>
      <w:r w:rsidR="001E4864">
        <w:rPr>
          <w:rFonts w:ascii="Times New Roman" w:hAnsi="Times New Roman" w:cs="Times New Roman"/>
          <w:lang w:val="en-US"/>
        </w:rPr>
        <w:t>Le</w:t>
      </w:r>
      <w:r w:rsidR="00A92BC0" w:rsidRPr="00FE4B16">
        <w:rPr>
          <w:rFonts w:ascii="Times New Roman" w:hAnsi="Times New Roman" w:cs="Times New Roman"/>
          <w:lang w:val="en-US"/>
        </w:rPr>
        <w:t>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294C1199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Dubois, M</w:t>
      </w:r>
      <w:r w:rsidR="00FE416B">
        <w:rPr>
          <w:rFonts w:ascii="Times New Roman" w:hAnsi="Times New Roman" w:cs="Times New Roman"/>
          <w:lang w:val="en-US"/>
        </w:rPr>
        <w:t>.</w:t>
      </w:r>
      <w:r w:rsidR="00FE416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="005D34CF" w:rsidRPr="005D34CF">
        <w:rPr>
          <w:rFonts w:ascii="Times New Roman" w:hAnsi="Times New Roman" w:cs="Times New Roman"/>
          <w:lang w:val="en-US"/>
        </w:rPr>
        <w:t>.,</w:t>
      </w:r>
      <w:r w:rsidRPr="00FE4B16">
        <w:rPr>
          <w:rFonts w:ascii="Times New Roman" w:hAnsi="Times New Roman" w:cs="Times New Roman"/>
          <w:lang w:val="en-US"/>
        </w:rPr>
        <w:t xml:space="preserve"> Duncan K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 Lapses in attention facilitate peripheral learning.</w:t>
      </w:r>
    </w:p>
    <w:p w14:paraId="5635DA9E" w14:textId="19484472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7C51041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53DEE598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</w:t>
      </w:r>
      <w:r w:rsidR="00271F21">
        <w:rPr>
          <w:rFonts w:ascii="Times New Roman" w:hAnsi="Times New Roman" w:cs="Times New Roman"/>
          <w:lang w:val="en-US"/>
        </w:rPr>
        <w:t>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71F21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1AC3173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2A4F800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7CE03C41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D3188A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Szulc,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Moxon-Emre,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Faria,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lastRenderedPageBreak/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B088E30" w14:textId="74C3BCDD" w:rsidR="00D150B2" w:rsidRDefault="00D150B2" w:rsidP="00D150B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</w:t>
      </w:r>
      <w:r>
        <w:rPr>
          <w:rFonts w:ascii="Times New Roman" w:hAnsi="Times New Roman" w:cs="Times New Roman"/>
        </w:rPr>
        <w:t xml:space="preserve"> for Veterans</w:t>
      </w:r>
      <w:r w:rsidRPr="00FE4B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fMRI Control</w:t>
      </w:r>
      <w:r w:rsidRPr="00FE4B16">
        <w:rPr>
          <w:rFonts w:ascii="Times New Roman" w:hAnsi="Times New Roman" w:cs="Times New Roman"/>
        </w:rPr>
        <w:t xml:space="preserve"> Room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16418DEA" w14:textId="5A4F9B60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3FC293A7" w14:textId="13D7565F" w:rsidR="003E6FBB" w:rsidRDefault="003E6FBB" w:rsidP="0018705D">
      <w:pPr>
        <w:rPr>
          <w:rFonts w:ascii="Times New Roman" w:hAnsi="Times New Roman" w:cs="Times New Roman"/>
        </w:rPr>
      </w:pPr>
    </w:p>
    <w:p w14:paraId="1D99AFC8" w14:textId="77777777" w:rsidR="0018705D" w:rsidRPr="00FE4B16" w:rsidRDefault="0018705D" w:rsidP="0018705D">
      <w:pPr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4709CBFF" w14:textId="5DE3C92E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06A9D7DC" w14:textId="3CCAC6D9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23C50247" w14:textId="37C497C7" w:rsidR="00CA3B66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3F7CCA5C" w14:textId="2C61D2EA" w:rsidR="00000820" w:rsidRPr="00FE4B16" w:rsidRDefault="00000820" w:rsidP="008E5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General</w:t>
      </w:r>
    </w:p>
    <w:p w14:paraId="26D51A6D" w14:textId="350C6CD3" w:rsidR="005268EF" w:rsidRPr="00FE4B16" w:rsidRDefault="005268EF" w:rsidP="0052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Human Perception and Performance</w:t>
      </w:r>
    </w:p>
    <w:p w14:paraId="02B6ADE1" w14:textId="28BC48D6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</w:p>
    <w:sectPr w:rsidR="008E5E1C" w:rsidRPr="00FE4B16" w:rsidSect="00AB5130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9ECA8" w14:textId="77777777" w:rsidR="002E1519" w:rsidRDefault="002E1519" w:rsidP="00C954A0">
      <w:r>
        <w:separator/>
      </w:r>
    </w:p>
  </w:endnote>
  <w:endnote w:type="continuationSeparator" w:id="0">
    <w:p w14:paraId="0019903D" w14:textId="77777777" w:rsidR="002E1519" w:rsidRDefault="002E1519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DA108" w14:textId="0908D331" w:rsidR="00161051" w:rsidRPr="00420436" w:rsidRDefault="0084580A" w:rsidP="00161051"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July</w:t>
    </w:r>
    <w:r w:rsidR="00161051">
      <w:rPr>
        <w:rFonts w:ascii="Times New Roman" w:hAnsi="Times New Roman" w:cs="Times New Roman"/>
        <w:lang w:val="en-US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AF0C8" w14:textId="77777777" w:rsidR="002E1519" w:rsidRDefault="002E1519" w:rsidP="00C954A0">
      <w:r>
        <w:separator/>
      </w:r>
    </w:p>
  </w:footnote>
  <w:footnote w:type="continuationSeparator" w:id="0">
    <w:p w14:paraId="781674A7" w14:textId="77777777" w:rsidR="002E1519" w:rsidRDefault="002E1519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5848"/>
    <w:rsid w:val="00010B92"/>
    <w:rsid w:val="00015ACF"/>
    <w:rsid w:val="00017A19"/>
    <w:rsid w:val="00052143"/>
    <w:rsid w:val="000532C4"/>
    <w:rsid w:val="000636EB"/>
    <w:rsid w:val="00070456"/>
    <w:rsid w:val="00070E2F"/>
    <w:rsid w:val="00074A54"/>
    <w:rsid w:val="000A1742"/>
    <w:rsid w:val="000A5417"/>
    <w:rsid w:val="000A7820"/>
    <w:rsid w:val="000C7A44"/>
    <w:rsid w:val="000D1505"/>
    <w:rsid w:val="000E0990"/>
    <w:rsid w:val="000E416A"/>
    <w:rsid w:val="000E48E6"/>
    <w:rsid w:val="000F2995"/>
    <w:rsid w:val="000F3D61"/>
    <w:rsid w:val="000F4C8E"/>
    <w:rsid w:val="000F691E"/>
    <w:rsid w:val="000F72DD"/>
    <w:rsid w:val="00115B40"/>
    <w:rsid w:val="00120105"/>
    <w:rsid w:val="001223AA"/>
    <w:rsid w:val="00125959"/>
    <w:rsid w:val="00126F5F"/>
    <w:rsid w:val="001561A9"/>
    <w:rsid w:val="00161051"/>
    <w:rsid w:val="00174833"/>
    <w:rsid w:val="0018705D"/>
    <w:rsid w:val="00191CF3"/>
    <w:rsid w:val="00192026"/>
    <w:rsid w:val="001A01DF"/>
    <w:rsid w:val="001B69D7"/>
    <w:rsid w:val="001B6A6D"/>
    <w:rsid w:val="001C16DF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52776"/>
    <w:rsid w:val="00255D9E"/>
    <w:rsid w:val="002621A8"/>
    <w:rsid w:val="00263EA0"/>
    <w:rsid w:val="00271F21"/>
    <w:rsid w:val="00272630"/>
    <w:rsid w:val="00275948"/>
    <w:rsid w:val="00281B1B"/>
    <w:rsid w:val="00286422"/>
    <w:rsid w:val="00292ED2"/>
    <w:rsid w:val="0029458F"/>
    <w:rsid w:val="002A099F"/>
    <w:rsid w:val="002A64EC"/>
    <w:rsid w:val="002B0517"/>
    <w:rsid w:val="002B1275"/>
    <w:rsid w:val="002B2780"/>
    <w:rsid w:val="002C17A4"/>
    <w:rsid w:val="002C644B"/>
    <w:rsid w:val="002D33E3"/>
    <w:rsid w:val="002D78A2"/>
    <w:rsid w:val="002E1519"/>
    <w:rsid w:val="002E448E"/>
    <w:rsid w:val="002E6E79"/>
    <w:rsid w:val="002F19AD"/>
    <w:rsid w:val="003009EB"/>
    <w:rsid w:val="00301770"/>
    <w:rsid w:val="00316565"/>
    <w:rsid w:val="00326563"/>
    <w:rsid w:val="00332924"/>
    <w:rsid w:val="00337DFF"/>
    <w:rsid w:val="00341327"/>
    <w:rsid w:val="003503F5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C719C"/>
    <w:rsid w:val="003D740D"/>
    <w:rsid w:val="003E22C3"/>
    <w:rsid w:val="003E6FBB"/>
    <w:rsid w:val="003F2236"/>
    <w:rsid w:val="003F3964"/>
    <w:rsid w:val="00401E81"/>
    <w:rsid w:val="00406DFA"/>
    <w:rsid w:val="0041643B"/>
    <w:rsid w:val="00420436"/>
    <w:rsid w:val="00431560"/>
    <w:rsid w:val="00437624"/>
    <w:rsid w:val="00442D00"/>
    <w:rsid w:val="00444497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91B76"/>
    <w:rsid w:val="00492F77"/>
    <w:rsid w:val="004968B7"/>
    <w:rsid w:val="004B08CE"/>
    <w:rsid w:val="004B0C74"/>
    <w:rsid w:val="004B47B2"/>
    <w:rsid w:val="004F4220"/>
    <w:rsid w:val="004F54CE"/>
    <w:rsid w:val="004F6C56"/>
    <w:rsid w:val="004F752F"/>
    <w:rsid w:val="005268EF"/>
    <w:rsid w:val="005339D7"/>
    <w:rsid w:val="00543375"/>
    <w:rsid w:val="0054438E"/>
    <w:rsid w:val="00544A0A"/>
    <w:rsid w:val="005462B0"/>
    <w:rsid w:val="00550E87"/>
    <w:rsid w:val="00574B84"/>
    <w:rsid w:val="005751F6"/>
    <w:rsid w:val="00582D6E"/>
    <w:rsid w:val="00583215"/>
    <w:rsid w:val="005859A2"/>
    <w:rsid w:val="00590068"/>
    <w:rsid w:val="00591100"/>
    <w:rsid w:val="00593929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F30"/>
    <w:rsid w:val="0063427F"/>
    <w:rsid w:val="00635227"/>
    <w:rsid w:val="00635CF7"/>
    <w:rsid w:val="0065080D"/>
    <w:rsid w:val="00663C7D"/>
    <w:rsid w:val="00674547"/>
    <w:rsid w:val="0067552D"/>
    <w:rsid w:val="006908AD"/>
    <w:rsid w:val="00695D2B"/>
    <w:rsid w:val="006A0164"/>
    <w:rsid w:val="006A75D7"/>
    <w:rsid w:val="006B5D21"/>
    <w:rsid w:val="006B7D3D"/>
    <w:rsid w:val="006C18CD"/>
    <w:rsid w:val="006C490A"/>
    <w:rsid w:val="006D049C"/>
    <w:rsid w:val="006D729A"/>
    <w:rsid w:val="006E53D3"/>
    <w:rsid w:val="006F4570"/>
    <w:rsid w:val="0070398C"/>
    <w:rsid w:val="007113BC"/>
    <w:rsid w:val="007117AD"/>
    <w:rsid w:val="00720914"/>
    <w:rsid w:val="00724AAB"/>
    <w:rsid w:val="00733416"/>
    <w:rsid w:val="00752624"/>
    <w:rsid w:val="0076043D"/>
    <w:rsid w:val="00767FA1"/>
    <w:rsid w:val="007705F9"/>
    <w:rsid w:val="00771378"/>
    <w:rsid w:val="007714CF"/>
    <w:rsid w:val="0077202E"/>
    <w:rsid w:val="00776D27"/>
    <w:rsid w:val="00792DAA"/>
    <w:rsid w:val="007A5758"/>
    <w:rsid w:val="007A5EA1"/>
    <w:rsid w:val="007A7302"/>
    <w:rsid w:val="007C530E"/>
    <w:rsid w:val="007D13B3"/>
    <w:rsid w:val="007D3382"/>
    <w:rsid w:val="007E0AAB"/>
    <w:rsid w:val="007E325B"/>
    <w:rsid w:val="007E4EAC"/>
    <w:rsid w:val="007E4F1E"/>
    <w:rsid w:val="007E60B6"/>
    <w:rsid w:val="008023EB"/>
    <w:rsid w:val="0080252B"/>
    <w:rsid w:val="00815F41"/>
    <w:rsid w:val="00830797"/>
    <w:rsid w:val="00843EF5"/>
    <w:rsid w:val="0084580A"/>
    <w:rsid w:val="00847964"/>
    <w:rsid w:val="00852203"/>
    <w:rsid w:val="00857D7B"/>
    <w:rsid w:val="008A5929"/>
    <w:rsid w:val="008B2B9D"/>
    <w:rsid w:val="008B2C9E"/>
    <w:rsid w:val="008B358B"/>
    <w:rsid w:val="008C5431"/>
    <w:rsid w:val="008C5822"/>
    <w:rsid w:val="008C6BD2"/>
    <w:rsid w:val="008C6D3B"/>
    <w:rsid w:val="008D5C48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95641"/>
    <w:rsid w:val="009977AB"/>
    <w:rsid w:val="00997DF5"/>
    <w:rsid w:val="009A2F86"/>
    <w:rsid w:val="009A374D"/>
    <w:rsid w:val="009A3A2A"/>
    <w:rsid w:val="009B3E62"/>
    <w:rsid w:val="009D104F"/>
    <w:rsid w:val="009E07F7"/>
    <w:rsid w:val="009E31B3"/>
    <w:rsid w:val="009E3BA9"/>
    <w:rsid w:val="009F6934"/>
    <w:rsid w:val="00A044AD"/>
    <w:rsid w:val="00A063B1"/>
    <w:rsid w:val="00A108AF"/>
    <w:rsid w:val="00A10D9D"/>
    <w:rsid w:val="00A11132"/>
    <w:rsid w:val="00A21903"/>
    <w:rsid w:val="00A23222"/>
    <w:rsid w:val="00A23546"/>
    <w:rsid w:val="00A430BC"/>
    <w:rsid w:val="00A51A63"/>
    <w:rsid w:val="00A5323F"/>
    <w:rsid w:val="00A56484"/>
    <w:rsid w:val="00A569DC"/>
    <w:rsid w:val="00A57DDD"/>
    <w:rsid w:val="00A57F47"/>
    <w:rsid w:val="00A700D7"/>
    <w:rsid w:val="00A74F57"/>
    <w:rsid w:val="00A92BC0"/>
    <w:rsid w:val="00A93594"/>
    <w:rsid w:val="00AB352B"/>
    <w:rsid w:val="00AB48A8"/>
    <w:rsid w:val="00AB5130"/>
    <w:rsid w:val="00AB52A6"/>
    <w:rsid w:val="00AB6B5E"/>
    <w:rsid w:val="00AC4664"/>
    <w:rsid w:val="00AC6844"/>
    <w:rsid w:val="00AC796E"/>
    <w:rsid w:val="00AD6E6D"/>
    <w:rsid w:val="00AE799C"/>
    <w:rsid w:val="00AF2229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932CE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26B1B"/>
    <w:rsid w:val="00C302D8"/>
    <w:rsid w:val="00C46E67"/>
    <w:rsid w:val="00C5557C"/>
    <w:rsid w:val="00C66916"/>
    <w:rsid w:val="00C859E0"/>
    <w:rsid w:val="00C91639"/>
    <w:rsid w:val="00C954A0"/>
    <w:rsid w:val="00CA138C"/>
    <w:rsid w:val="00CA243F"/>
    <w:rsid w:val="00CA3B66"/>
    <w:rsid w:val="00CB59B8"/>
    <w:rsid w:val="00CC0D3D"/>
    <w:rsid w:val="00CD14BF"/>
    <w:rsid w:val="00CE09C7"/>
    <w:rsid w:val="00CE6FB6"/>
    <w:rsid w:val="00CF1FE0"/>
    <w:rsid w:val="00CF3B9B"/>
    <w:rsid w:val="00D10410"/>
    <w:rsid w:val="00D11603"/>
    <w:rsid w:val="00D150B2"/>
    <w:rsid w:val="00D15BC0"/>
    <w:rsid w:val="00D3188A"/>
    <w:rsid w:val="00D3564B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E04D24"/>
    <w:rsid w:val="00E15AD5"/>
    <w:rsid w:val="00E32B85"/>
    <w:rsid w:val="00E4588A"/>
    <w:rsid w:val="00E5110F"/>
    <w:rsid w:val="00E618ED"/>
    <w:rsid w:val="00E73210"/>
    <w:rsid w:val="00E74BC1"/>
    <w:rsid w:val="00E81177"/>
    <w:rsid w:val="00E90EEC"/>
    <w:rsid w:val="00EE59D6"/>
    <w:rsid w:val="00EF0B7C"/>
    <w:rsid w:val="00EF539F"/>
    <w:rsid w:val="00F04A88"/>
    <w:rsid w:val="00F06A31"/>
    <w:rsid w:val="00F20FFF"/>
    <w:rsid w:val="00F2772D"/>
    <w:rsid w:val="00F3617C"/>
    <w:rsid w:val="00F36694"/>
    <w:rsid w:val="00F371FD"/>
    <w:rsid w:val="00F378BF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6767" TargetMode="External"/><Relationship Id="rId13" Type="http://schemas.openxmlformats.org/officeDocument/2006/relationships/hyperlink" Target="https://doi.org/10.1002/cam4.27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ad.2023.10.068" TargetMode="External"/><Relationship Id="rId12" Type="http://schemas.openxmlformats.org/officeDocument/2006/relationships/hyperlink" Target="https://doi.org/10.1016/j.cobeha.2020.01.013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02/hbm.23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3/JNEUROSCI.1633-23.2023" TargetMode="External"/><Relationship Id="rId11" Type="http://schemas.openxmlformats.org/officeDocument/2006/relationships/hyperlink" Target="https://doi.org/10.1016/j.cognition.2020.1043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2/hipo.22758" TargetMode="External"/><Relationship Id="rId10" Type="http://schemas.openxmlformats.org/officeDocument/2006/relationships/hyperlink" Target="https://doi.org/10.1038/s41467-020-17854-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3758/s13423-022-02226-6" TargetMode="External"/><Relationship Id="rId14" Type="http://schemas.openxmlformats.org/officeDocument/2006/relationships/hyperlink" Target="https://doi.org/10.1523/JNEUROSCI.1056-18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2356</Words>
  <Characters>13576</Characters>
  <Application>Microsoft Office Word</Application>
  <DocSecurity>0</DocSecurity>
  <Lines>222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102</cp:revision>
  <cp:lastPrinted>2024-05-15T17:06:00Z</cp:lastPrinted>
  <dcterms:created xsi:type="dcterms:W3CDTF">2024-05-15T17:26:00Z</dcterms:created>
  <dcterms:modified xsi:type="dcterms:W3CDTF">2024-07-19T13:25:00Z</dcterms:modified>
</cp:coreProperties>
</file>