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2B45"/>
          <w:sz w:val="26"/>
        </w:rPr>
        <w:t>ACADEMIA DE STUDII ECONOMICE DIN BUCUREȘTI</w:t>
        <w:br/>
      </w:r>
      <w:r>
        <w:rPr>
          <w:color w:val="424242"/>
          <w:sz w:val="24"/>
        </w:rPr>
        <w:t>Facultatea de Cibernetică, Statistică și Informatică Economică</w:t>
        <w:br/>
      </w:r>
      <w:r>
        <w:rPr>
          <w:color w:val="424242"/>
          <w:sz w:val="22"/>
        </w:rPr>
        <w:t>An III · Pachete Software</w:t>
        <w:br/>
      </w:r>
    </w:p>
    <w:p/>
    <w:p>
      <w:pPr>
        <w:jc w:val="center"/>
      </w:pPr>
      <w:r>
        <w:rPr>
          <w:b/>
          <w:color w:val="0D2B45"/>
          <w:sz w:val="44"/>
        </w:rPr>
        <w:t>ANALIZA STRATEGICĂ A ACTIVITĂȚII</w:t>
        <w:br/>
        <w:t>HIDROELECTRICA S.A.</w:t>
        <w:br/>
        <w:t>(2021–2025)</w:t>
      </w:r>
    </w:p>
    <w:p/>
    <w:p>
      <w:pPr>
        <w:jc w:val="center"/>
      </w:pPr>
      <w:r>
        <w:rPr>
          <w:color w:val="424242"/>
          <w:sz w:val="24"/>
        </w:rPr>
        <w:t>Proiect realizat cu: Python (Streamlit) &amp; SAS</w:t>
        <w:br/>
        <w:t>Date reale: Rapoarte anuale H2O · BVB · ANRE · ANM · SEN</w:t>
      </w:r>
    </w:p>
    <w:p/>
    <w:p>
      <w:pPr>
        <w:jc w:val="center"/>
      </w:pPr>
      <w:r>
        <w:rPr>
          <w:b/>
          <w:color w:val="212121"/>
          <w:sz w:val="26"/>
        </w:rPr>
        <w:t>Student: Alexandra-Elena Dumitrescu</w:t>
        <w:br/>
      </w:r>
      <w:r>
        <w:rPr>
          <w:color w:val="424242"/>
          <w:sz w:val="22"/>
        </w:rPr>
        <w:t>București, May 2026</w:t>
      </w:r>
    </w:p>
    <w:p>
      <w:r>
        <w:br w:type="page"/>
      </w:r>
    </w:p>
    <w:p>
      <w:pPr>
        <w:spacing w:before="360" w:after="120"/>
      </w:pPr>
      <w:r>
        <w:rPr>
          <w:b/>
          <w:color w:val="0D2B45"/>
          <w:sz w:val="32"/>
        </w:rPr>
        <w:t>INTRODUCERE</w:t>
      </w:r>
    </w:p>
    <w:p>
      <w:pPr>
        <w:spacing w:after="80"/>
        <w:ind w:firstLine="0"/>
      </w:pPr>
      <w:r>
        <w:rPr>
          <w:color w:val="212121"/>
          <w:sz w:val="22"/>
        </w:rPr>
        <w:t>Proiectul analizează activitatea Hidroelectrica S.A., cel mai mare producător de energie electrică din România, cotat la Bursa de Valori București (simbol H2O). Analiza acoperă perioada 2021–2025 și utilizează date reale extrase din rapoartele anuale consolidate și individuale, date operaționale ANRE, cotații BVB și date meteo (Open-Meteo / ANM).</w:t>
      </w:r>
    </w:p>
    <w:p>
      <w:pPr>
        <w:spacing w:after="80"/>
        <w:ind w:firstLine="0"/>
      </w:pPr>
      <w:r>
        <w:rPr>
          <w:color w:val="212121"/>
          <w:sz w:val="22"/>
        </w:rPr>
        <w:t>Proiectul este organizat în două secțiuni principale:</w:t>
      </w:r>
    </w:p>
    <w:p>
      <w:pPr>
        <w:spacing w:after="80"/>
        <w:ind w:firstLine="240"/>
      </w:pPr>
      <w:r>
        <w:rPr>
          <w:color w:val="212121"/>
          <w:sz w:val="22"/>
        </w:rPr>
        <w:t>1. Python (Streamlit) — aplicație interactivă cu 9 facilități.</w:t>
      </w:r>
    </w:p>
    <w:p>
      <w:pPr>
        <w:spacing w:after="80"/>
        <w:ind w:firstLine="240"/>
      </w:pPr>
      <w:r>
        <w:rPr>
          <w:color w:val="212121"/>
          <w:sz w:val="22"/>
        </w:rPr>
        <w:t>2. SAS — analiză procedurală cu 10 facilități.</w:t>
      </w:r>
    </w:p>
    <w:p>
      <w:pPr>
        <w:spacing w:after="80"/>
        <w:ind w:firstLine="0"/>
      </w:pPr>
      <w:r>
        <w:rPr>
          <w:color w:val="212121"/>
          <w:sz w:val="22"/>
        </w:rPr>
        <w:t>Obiectivul central este identificarea factorilor determinanți ai profitabilității Hidroelectrica și evaluarea potențialului de extindere în surse regenerabile complementare (solar, eolian), în contextul dependenței critice de hidraulicitate.</w:t>
      </w:r>
    </w:p>
    <w:p>
      <w:r>
        <w:br w:type="page"/>
      </w:r>
    </w:p>
    <w:p>
      <w:pPr>
        <w:spacing w:before="360" w:after="120"/>
      </w:pPr>
      <w:r>
        <w:rPr>
          <w:b/>
          <w:color w:val="1B5E20"/>
          <w:sz w:val="32"/>
        </w:rPr>
        <w:t>SECȚIUNEA 1 — PYTHON (STREAMLIT)</w:t>
      </w:r>
    </w:p>
    <w:p>
      <w:pPr>
        <w:spacing w:after="80"/>
        <w:ind w:firstLine="0"/>
      </w:pPr>
      <w:r>
        <w:rPr>
          <w:color w:val="212121"/>
          <w:sz w:val="22"/>
        </w:rPr>
        <w:t>Aplicația este implementată în fișierul app.py (~1.950 linii) și rulează cu comanda streamlit run app.py. Interfața conține 10 secțiuni navigate printr-un meniu lateral.</w:t>
      </w:r>
    </w:p>
    <w:p>
      <w:pPr>
        <w:spacing w:after="80"/>
        <w:ind w:firstLine="0"/>
      </w:pPr>
      <w:r>
        <w:rPr>
          <w:color w:val="212121"/>
          <w:sz w:val="22"/>
        </w:rPr>
        <w:t>Biblioteci principale utilizate:</w:t>
      </w:r>
    </w:p>
    <w:p>
      <w:pPr>
        <w:spacing w:after="80"/>
        <w:ind w:firstLine="240"/>
      </w:pPr>
      <w:r>
        <w:rPr>
          <w:color w:val="212121"/>
          <w:sz w:val="22"/>
        </w:rPr>
        <w:t>streamlit, pandas, numpy, plotly, geopandas, shapely, scikit-learn, statsmodels, scipy, matplotlib, yfinance, requests</w:t>
      </w:r>
    </w:p>
    <w:p/>
    <w:p>
      <w:pPr>
        <w:spacing w:before="280" w:after="80"/>
      </w:pPr>
      <w:r>
        <w:rPr>
          <w:b/>
          <w:color w:val="FFFFFF"/>
          <w:sz w:val="22"/>
        </w:rPr>
        <w:t xml:space="preserve">  FUNCTIA PY-1  </w:t>
      </w:r>
      <w:r>
        <w:rPr>
          <w:b/>
          <w:color w:val="1B5E20"/>
          <w:sz w:val="26"/>
        </w:rPr>
        <w:t xml:space="preserve">  Metode Streamlit — Afișare și Reprezentări Grafice</w:t>
      </w:r>
    </w:p>
    <w:p>
      <w:pPr>
        <w:spacing w:before="100" w:after="40"/>
      </w:pPr>
      <w:r>
        <w:rPr>
          <w:b/>
          <w:color w:val="1A5276"/>
          <w:sz w:val="22"/>
        </w:rPr>
        <w:t xml:space="preserve">a) Definirea problemei: </w:t>
      </w:r>
      <w:r>
        <w:rPr>
          <w:color w:val="212121"/>
          <w:sz w:val="22"/>
        </w:rPr>
        <w:t>Construirea unei interfețe web interactive care să prezinte indicatorii cheie ai Hidroelectrica S.A. în format vizual accesibil, cu filtre dinamice și secțiuni navigabile.</w:t>
      </w:r>
    </w:p>
    <w:p>
      <w:pPr>
        <w:spacing w:before="100" w:after="40"/>
      </w:pPr>
      <w:r>
        <w:rPr>
          <w:b/>
          <w:color w:val="1A5276"/>
          <w:sz w:val="22"/>
        </w:rPr>
        <w:t xml:space="preserve">b) Informații necesare: </w:t>
      </w:r>
      <w:r>
        <w:rPr>
          <w:color w:val="212121"/>
          <w:sz w:val="22"/>
        </w:rPr>
        <w:t>Date financiare consolidate 2021–2025 (CSV), date bursiere H2O.RO (yfinance API), date operaționale ANRE.</w:t>
      </w:r>
    </w:p>
    <w:p>
      <w:pPr>
        <w:spacing w:before="100" w:after="40"/>
      </w:pPr>
      <w:r>
        <w:rPr>
          <w:b/>
          <w:color w:val="1A5276"/>
          <w:sz w:val="22"/>
        </w:rPr>
        <w:t xml:space="preserve">c) Metode de calcul / funcții utilizate: </w:t>
      </w:r>
      <w:r>
        <w:rPr>
          <w:color w:val="212121"/>
          <w:sz w:val="22"/>
        </w:rPr>
        <w:t>st.set_page_config(), st.sidebar.radio(), st.columns(), st.metric(), st.dataframe(), st.plotly_chart(), st.tabs(), st.multiselect(), st.download_button(), st.caption(), st.markdown() cu HTML unsafe. Template Plotly personalizat (dark theme, fonturi Syne/JetBrains Mono). Decoratorul @st.cache_data pentru caching date (TTL 1h–24h).</w:t>
      </w:r>
    </w:p>
    <w:p>
      <w:pPr>
        <w:spacing w:before="100" w:after="40"/>
      </w:pPr>
      <w:r>
        <w:rPr>
          <w:b/>
          <w:color w:val="1A5276"/>
          <w:sz w:val="22"/>
        </w:rPr>
        <w:t xml:space="preserve">d) Prezentarea rezultatelor: </w:t>
      </w:r>
      <w:r>
        <w:rPr>
          <w:color w:val="212121"/>
          <w:sz w:val="22"/>
        </w:rPr>
        <w:t>Secțiunea Overview afișează 4 metrici principale (Venituri 2025: 9.62 mld RON, Profit Net: 3.37 mld RON, EBITDA: 4.60 mld RON, ROE: 15.16%). Graficele include: bar chart grupat venituri vs. profit, scatter lines marje operaționale, grafic bursier H2O.RO cu volum, tabel P/E ratio vs. benchmark sector.</w:t>
      </w:r>
    </w:p>
    <w:p>
      <w:pPr>
        <w:spacing w:before="100" w:after="40"/>
      </w:pPr>
      <w:r>
        <w:rPr>
          <w:b/>
          <w:color w:val="1A5276"/>
          <w:sz w:val="22"/>
        </w:rPr>
        <w:t xml:space="preserve">e) Interpretarea economică: </w:t>
      </w:r>
      <w:r>
        <w:rPr>
          <w:color w:val="212121"/>
          <w:sz w:val="22"/>
        </w:rPr>
        <w:t>2023 a reprezentat vârful absolut (marjă netă 52.4%, EPS 14.17 RON) datorită hidraulicității record (index 118) și prețurilor ridicate ale energiei. 2025 marchează cea mai slabă marjă EBITDA (47.8%) din intervalul analizat, cauzată de secetă hidrologică (index 71) și creșterea energiei achiziționate (+336%).</w:t>
      </w:r>
    </w:p>
    <w:p/>
    <w:p>
      <w:pPr>
        <w:spacing w:before="280" w:after="80"/>
      </w:pPr>
      <w:r>
        <w:rPr>
          <w:b/>
          <w:color w:val="FFFFFF"/>
          <w:sz w:val="22"/>
        </w:rPr>
        <w:t xml:space="preserve">  FUNCTIA PY-2  </w:t>
      </w:r>
      <w:r>
        <w:rPr>
          <w:b/>
          <w:color w:val="1B5E20"/>
          <w:sz w:val="26"/>
        </w:rPr>
        <w:t xml:space="preserve">  Pachetul GeoPandas — Harta Centralelor</w:t>
      </w:r>
    </w:p>
    <w:p>
      <w:pPr>
        <w:spacing w:before="100" w:after="40"/>
      </w:pPr>
      <w:r>
        <w:rPr>
          <w:b/>
          <w:color w:val="1A5276"/>
          <w:sz w:val="22"/>
        </w:rPr>
        <w:t xml:space="preserve">a) Definirea problemei: </w:t>
      </w:r>
      <w:r>
        <w:rPr>
          <w:color w:val="212121"/>
          <w:sz w:val="22"/>
        </w:rPr>
        <w:t>Vizualizarea geografică a distribuției celor 30 de centrale hidroelectrice pe teritoriul României, cu reprezentarea puterii instalate și clasificarea pe tipuri de centrale.</w:t>
      </w:r>
    </w:p>
    <w:p>
      <w:pPr>
        <w:spacing w:before="100" w:after="40"/>
      </w:pPr>
      <w:r>
        <w:rPr>
          <w:b/>
          <w:color w:val="1A5276"/>
          <w:sz w:val="22"/>
        </w:rPr>
        <w:t xml:space="preserve">b) Informații necesare: </w:t>
      </w:r>
      <w:r>
        <w:rPr>
          <w:color w:val="212121"/>
          <w:sz w:val="22"/>
        </w:rPr>
        <w:t>Fișierul hidroelectrica_centrale.csv cu coordonatele GPS (lat/lon), puterea instalată (MW), tipul și județul fiecărei centrale.</w:t>
      </w:r>
    </w:p>
    <w:p>
      <w:pPr>
        <w:spacing w:before="100" w:after="40"/>
      </w:pPr>
      <w:r>
        <w:rPr>
          <w:b/>
          <w:color w:val="1A5276"/>
          <w:sz w:val="22"/>
        </w:rPr>
        <w:t xml:space="preserve">c) Metode de calcul / funcții utilizate: </w:t>
      </w:r>
      <w:r>
        <w:rPr>
          <w:color w:val="212121"/>
          <w:sz w:val="22"/>
        </w:rPr>
        <w:t>gpd.GeoDataFrame() cu geometrie creată din shapely.geometry.Point(lon, lat), CRS EPSG:4326 (WGS84). Harta interactivă px.scatter_mapbox() cu mapbox_style='carto-darkmatter', size=putere_mw. Grupare pandas pe județ: groupby('judet').agg(nr_centrale, mw_total, gwh_total).</w:t>
      </w:r>
    </w:p>
    <w:p>
      <w:pPr>
        <w:spacing w:before="100" w:after="40"/>
      </w:pPr>
      <w:r>
        <w:rPr>
          <w:b/>
          <w:color w:val="1A5276"/>
          <w:sz w:val="22"/>
        </w:rPr>
        <w:t xml:space="preserve">d) Prezentarea rezultatelor: </w:t>
      </w:r>
      <w:r>
        <w:rPr>
          <w:color w:val="212121"/>
          <w:sz w:val="22"/>
        </w:rPr>
        <w:t>Hartă interactivă cu 30 de puncte colorate pe tipuri (albastru=acumulare, verde=firul apei, portocaliu=fluvial). Top județe: Mehedinți (1.320 MW — Porțile de Fier), Vâlcea (1.042 MW — 11 centrale pe Olt). Bar chart orizontal cu puterea instalată per centrală.</w:t>
      </w:r>
    </w:p>
    <w:p>
      <w:pPr>
        <w:spacing w:before="100" w:after="40"/>
      </w:pPr>
      <w:r>
        <w:rPr>
          <w:b/>
          <w:color w:val="1A5276"/>
          <w:sz w:val="22"/>
        </w:rPr>
        <w:t xml:space="preserve">e) Interpretarea economică: </w:t>
      </w:r>
      <w:r>
        <w:rPr>
          <w:color w:val="212121"/>
          <w:sz w:val="22"/>
        </w:rPr>
        <w:t>Cele 30 de centrale principale totalizează 3.547 MW putere instalată și ~20.673 GWh producție anuală. Concentrarea geografică pe bazinele Olt și Dunăre creează o expunere la risc regional de secetă — justificând diversificarea geografică a investițiilor în regenerabile.</w:t>
      </w:r>
    </w:p>
    <w:p/>
    <w:p>
      <w:pPr>
        <w:spacing w:before="280" w:after="80"/>
      </w:pPr>
      <w:r>
        <w:rPr>
          <w:b/>
          <w:color w:val="FFFFFF"/>
          <w:sz w:val="22"/>
        </w:rPr>
        <w:t xml:space="preserve">  FUNCTIA PY-3  </w:t>
      </w:r>
      <w:r>
        <w:rPr>
          <w:b/>
          <w:color w:val="1B5E20"/>
          <w:sz w:val="26"/>
        </w:rPr>
        <w:t xml:space="preserve">  Tratarea Valorilor Lipsă și Valorilor Extreme</w:t>
      </w:r>
    </w:p>
    <w:p>
      <w:pPr>
        <w:spacing w:before="100" w:after="40"/>
      </w:pPr>
      <w:r>
        <w:rPr>
          <w:b/>
          <w:color w:val="1A5276"/>
          <w:sz w:val="22"/>
        </w:rPr>
        <w:t xml:space="preserve">a) Definirea problemei: </w:t>
      </w:r>
      <w:r>
        <w:rPr>
          <w:color w:val="212121"/>
          <w:sz w:val="22"/>
        </w:rPr>
        <w:t>Identificarea, cuantificarea și tratarea valorilor lipsă (NaN) și a valorilor extreme (outlieri) din dataset-ul financiar consolidat, pentru asigurarea calității datelor înainte de analizele statistice și ML.</w:t>
      </w:r>
    </w:p>
    <w:p>
      <w:pPr>
        <w:spacing w:before="100" w:after="40"/>
      </w:pPr>
      <w:r>
        <w:rPr>
          <w:b/>
          <w:color w:val="1A5276"/>
          <w:sz w:val="22"/>
        </w:rPr>
        <w:t xml:space="preserve">b) Informații necesare: </w:t>
      </w:r>
      <w:r>
        <w:rPr>
          <w:color w:val="212121"/>
          <w:sz w:val="22"/>
        </w:rPr>
        <w:t>DataFrame-ul complet (hidroelectrica_dataset_complet.csv, 5 observații × 53 variabile). Coloanele cu valori lipsă: ponderea_furnizare_pct (2021–2022), crestere_venituri_pct și crestere_profit_net_pct (2021).</w:t>
      </w:r>
    </w:p>
    <w:p>
      <w:pPr>
        <w:spacing w:before="100" w:after="40"/>
      </w:pPr>
      <w:r>
        <w:rPr>
          <w:b/>
          <w:color w:val="1A5276"/>
          <w:sz w:val="22"/>
        </w:rPr>
        <w:t xml:space="preserve">c) Metode de calcul / formule: </w:t>
      </w:r>
      <w:r>
        <w:rPr>
          <w:color w:val="212121"/>
          <w:sz w:val="22"/>
        </w:rPr>
        <w:t>Valori lipsă: df.isnull().sum() pentru detectare; fillna(mean()) pentru imputare cu media, fillna(0) pentru variabilele de creștere. Valori extreme — metoda IQR: Q1=percentila 25, Q3=percentila 75, IQR=Q3-Q1; limite: [Q1-1.5×IQR, Q3+1.5×IQR]. Vizualizare prin boxplot Plotly.</w:t>
      </w:r>
    </w:p>
    <w:p>
      <w:pPr>
        <w:spacing w:before="100" w:after="40"/>
      </w:pPr>
      <w:r>
        <w:rPr>
          <w:b/>
          <w:color w:val="1A5276"/>
          <w:sz w:val="22"/>
        </w:rPr>
        <w:t xml:space="preserve">d) Prezentarea rezultatelor: </w:t>
      </w:r>
      <w:r>
        <w:rPr>
          <w:color w:val="212121"/>
          <w:sz w:val="22"/>
        </w:rPr>
        <w:t>Tabel IQR pentru 6 variabile: venituri_totale, profit_net, ebitda, pret_mediu_energie_ron_mwh, productie_hidro_gwh, index_precipitatii. Outlieri detectați: 2022 (preț energie 712 RON/MWh — +83% față de medie) și 2023 (venituri 12.16 mld RON — +33% față de medie).</w:t>
      </w:r>
    </w:p>
    <w:p>
      <w:pPr>
        <w:spacing w:before="100" w:after="40"/>
      </w:pPr>
      <w:r>
        <w:rPr>
          <w:b/>
          <w:color w:val="1A5276"/>
          <w:sz w:val="22"/>
        </w:rPr>
        <w:t xml:space="preserve">e) Interpretarea economică: </w:t>
      </w:r>
      <w:r>
        <w:rPr>
          <w:color w:val="212121"/>
          <w:sz w:val="22"/>
        </w:rPr>
        <w:t>Valorile extreme identificate sunt valori reale, nu erori de măsurare — reflectă contextul macroeconomic specific: criza energetică europeană (2022) și hidraulicitatea excepțională (2023). Nu se elimină, ci se documentează și se tratează distinct în modelele ML (feature pe_dunare, log-transform).</w:t>
      </w:r>
    </w:p>
    <w:p/>
    <w:p>
      <w:pPr>
        <w:spacing w:before="280" w:after="80"/>
      </w:pPr>
      <w:r>
        <w:rPr>
          <w:b/>
          <w:color w:val="FFFFFF"/>
          <w:sz w:val="22"/>
        </w:rPr>
        <w:t xml:space="preserve">  FUNCTIA PY-4  </w:t>
      </w:r>
      <w:r>
        <w:rPr>
          <w:b/>
          <w:color w:val="1B5E20"/>
          <w:sz w:val="26"/>
        </w:rPr>
        <w:t xml:space="preserve">  Metode de Codificare a Datelor</w:t>
      </w:r>
    </w:p>
    <w:p>
      <w:pPr>
        <w:spacing w:before="100" w:after="40"/>
      </w:pPr>
      <w:r>
        <w:rPr>
          <w:b/>
          <w:color w:val="1A5276"/>
          <w:sz w:val="22"/>
        </w:rPr>
        <w:t xml:space="preserve">a) Definirea problemei: </w:t>
      </w:r>
      <w:r>
        <w:rPr>
          <w:color w:val="212121"/>
          <w:sz w:val="22"/>
        </w:rPr>
        <w:t>Transformarea variabilelor categoriale (tip centrală, sezon hidrologic) în reprezentări numerice compatibile cu algoritmii ML din scikit-learn.</w:t>
      </w:r>
    </w:p>
    <w:p>
      <w:pPr>
        <w:spacing w:before="100" w:after="40"/>
      </w:pPr>
      <w:r>
        <w:rPr>
          <w:b/>
          <w:color w:val="1A5276"/>
          <w:sz w:val="22"/>
        </w:rPr>
        <w:t xml:space="preserve">b) Informații necesare: </w:t>
      </w:r>
      <w:r>
        <w:rPr>
          <w:color w:val="212121"/>
          <w:sz w:val="22"/>
        </w:rPr>
        <w:t>Variabila tip cu 3 categorii: 'acumulare', 'firul_apei', 'fluvial'. Variabila sezon cu 4 valori: 'Iarnă', 'Primăvară', 'Vară', 'Toamnă'.</w:t>
      </w:r>
    </w:p>
    <w:p>
      <w:pPr>
        <w:spacing w:before="100" w:after="40"/>
      </w:pPr>
      <w:r>
        <w:rPr>
          <w:b/>
          <w:color w:val="1A5276"/>
          <w:sz w:val="22"/>
        </w:rPr>
        <w:t xml:space="preserve">c) Metode de calcul: </w:t>
      </w:r>
      <w:r>
        <w:rPr>
          <w:color w:val="212121"/>
          <w:sz w:val="22"/>
        </w:rPr>
        <w:t>LabelEncoder().fit_transform() — codificare ordinală (0, 1, 2). Utilizat pentru tip_enc (intrare în KMeans, Ridge, RF, XGBoost) și sezon_enc (tipologie hidrologică). Alegere justificată: LabelEncoder e optim când ML-ul tratează variabila ca numerică continuă (arbori, regresie regularizată). Alternativa OneHotEncoder ar crea colinearitate în regresia OLS (n=30).</w:t>
      </w:r>
    </w:p>
    <w:p>
      <w:pPr>
        <w:spacing w:before="100" w:after="40"/>
      </w:pPr>
      <w:r>
        <w:rPr>
          <w:b/>
          <w:color w:val="1A5276"/>
          <w:sz w:val="22"/>
        </w:rPr>
        <w:t xml:space="preserve">d) Prezentarea rezultatelor: </w:t>
      </w:r>
      <w:r>
        <w:rPr>
          <w:color w:val="212121"/>
          <w:sz w:val="22"/>
        </w:rPr>
        <w:t>acumulare→0, firul_apei→1, fluvial→2 (LabelEncoder aloci automat în ordinea apariției după sortare). sezon: Iarnă→1, Primăvară→2, Toamnă→3, Vară→4. Codificarea este vizibilă în tabelul de clasificare din secțiunea Clasificare (LOO cross-validation).</w:t>
      </w:r>
    </w:p>
    <w:p>
      <w:pPr>
        <w:spacing w:before="100" w:after="40"/>
      </w:pPr>
      <w:r>
        <w:rPr>
          <w:b/>
          <w:color w:val="1A5276"/>
          <w:sz w:val="22"/>
        </w:rPr>
        <w:t xml:space="preserve">e) Interpretarea economică: </w:t>
      </w:r>
      <w:r>
        <w:rPr>
          <w:color w:val="212121"/>
          <w:sz w:val="22"/>
        </w:rPr>
        <w:t>Codificarea permite includerea tipului centralei ca predictor în modelele de regresie și clustering. Centralele fluviale (Porțile de Fier, cod 2) au un comportament complet diferit față de cele pe firul apei (cod 1): debit controlat prin acorduri internaționale, nu doar prin precipitații.</w:t>
      </w:r>
    </w:p>
    <w:p/>
    <w:p>
      <w:pPr>
        <w:spacing w:before="280" w:after="80"/>
      </w:pPr>
      <w:r>
        <w:rPr>
          <w:b/>
          <w:color w:val="FFFFFF"/>
          <w:sz w:val="22"/>
        </w:rPr>
        <w:t xml:space="preserve">  FUNCTIA PY-5  </w:t>
      </w:r>
      <w:r>
        <w:rPr>
          <w:b/>
          <w:color w:val="1B5E20"/>
          <w:sz w:val="26"/>
        </w:rPr>
        <w:t xml:space="preserve">  Metode de Scalare</w:t>
      </w:r>
    </w:p>
    <w:p>
      <w:pPr>
        <w:spacing w:before="100" w:after="40"/>
      </w:pPr>
      <w:r>
        <w:rPr>
          <w:b/>
          <w:color w:val="1A5276"/>
          <w:sz w:val="22"/>
        </w:rPr>
        <w:t xml:space="preserve">a) Definirea problemei: </w:t>
      </w:r>
      <w:r>
        <w:rPr>
          <w:color w:val="212121"/>
          <w:sz w:val="22"/>
        </w:rPr>
        <w:t>Standardizarea variabilelor numerice cu scale diferite (MW, GWh, ani, procente) pentru a asigura contribuția egală a fiecărui predictor în algoritmii KMeans și regresie regularizată.</w:t>
      </w:r>
    </w:p>
    <w:p>
      <w:pPr>
        <w:spacing w:before="100" w:after="40"/>
      </w:pPr>
      <w:r>
        <w:rPr>
          <w:b/>
          <w:color w:val="1A5276"/>
          <w:sz w:val="22"/>
        </w:rPr>
        <w:t xml:space="preserve">b) Informații necesare: </w:t>
      </w:r>
      <w:r>
        <w:rPr>
          <w:color w:val="212121"/>
          <w:sz w:val="22"/>
        </w:rPr>
        <w:t>Features KMeans: putere_mw (14–1050), productie_gwh_an (42–5200), an_punere_functiune (1956–1986), factor_utilizare (0.06–0.50). Features clasificare și regresie ML: aceleași + tip_enc, cluster, pe_dunare.</w:t>
      </w:r>
    </w:p>
    <w:p>
      <w:pPr>
        <w:spacing w:before="100" w:after="40"/>
      </w:pPr>
      <w:r>
        <w:rPr>
          <w:b/>
          <w:color w:val="1A5276"/>
          <w:sz w:val="22"/>
        </w:rPr>
        <w:t xml:space="preserve">c) Metode de calcul / formula: </w:t>
      </w:r>
      <w:r>
        <w:rPr>
          <w:color w:val="212121"/>
          <w:sz w:val="22"/>
        </w:rPr>
        <w:t>StandardScaler: z = (x − μ) / σ. Aplicat cu scaler.fit_transform(X_train) pe datele de antrenament și scaler.transform(X_test) pe test (prevenind data leakage). Utilizat în: KMeans Centrale, KMeans Tipologie Hidrologică, LogisticRegression, LinearRegression, Ridge, RandomForest, XGBoost.</w:t>
      </w:r>
    </w:p>
    <w:p>
      <w:pPr>
        <w:spacing w:before="100" w:after="40"/>
      </w:pPr>
      <w:r>
        <w:rPr>
          <w:b/>
          <w:color w:val="1A5276"/>
          <w:sz w:val="22"/>
        </w:rPr>
        <w:t xml:space="preserve">d) Prezentarea rezultatelor: </w:t>
      </w:r>
      <w:r>
        <w:rPr>
          <w:color w:val="212121"/>
          <w:sz w:val="22"/>
        </w:rPr>
        <w:t>Fără scalare: KMeans ar fi dominat de putere_mw (range 1036 MW) față de factor_utilizare (range 0.44). Cu StandardScaler: toate variabilele au medie 0 și deviație standard 1. Silhouette Score K=4: 0.454 (bun).</w:t>
      </w:r>
    </w:p>
    <w:p>
      <w:pPr>
        <w:spacing w:before="100" w:after="40"/>
      </w:pPr>
      <w:r>
        <w:rPr>
          <w:b/>
          <w:color w:val="1A5276"/>
          <w:sz w:val="22"/>
        </w:rPr>
        <w:t xml:space="preserve">e) Interpretarea economică: </w:t>
      </w:r>
      <w:r>
        <w:rPr>
          <w:color w:val="212121"/>
          <w:sz w:val="22"/>
        </w:rPr>
        <w:t>Scalarea corectă asigură că Porțile de Fier I (1050 MW) nu domină automat clusterizarea datorită magnitudinii puterii, ci contribuie echilibrat cu ceilalți factori. Fără scalare, toate centralele mici ar forma un singur cluster artificial.</w:t>
      </w:r>
    </w:p>
    <w:p/>
    <w:p>
      <w:pPr>
        <w:spacing w:before="280" w:after="80"/>
      </w:pPr>
      <w:r>
        <w:rPr>
          <w:b/>
          <w:color w:val="FFFFFF"/>
          <w:sz w:val="22"/>
        </w:rPr>
        <w:t xml:space="preserve">  FUNCTIA PY-6  </w:t>
      </w:r>
      <w:r>
        <w:rPr>
          <w:b/>
          <w:color w:val="1B5E20"/>
          <w:sz w:val="26"/>
        </w:rPr>
        <w:t xml:space="preserve">  Grupare și Agregare Pandas — Funcții de Grup</w:t>
      </w:r>
    </w:p>
    <w:p>
      <w:pPr>
        <w:spacing w:before="100" w:after="40"/>
      </w:pPr>
      <w:r>
        <w:rPr>
          <w:b/>
          <w:color w:val="1A5276"/>
          <w:sz w:val="22"/>
        </w:rPr>
        <w:t xml:space="preserve">a) Definirea problemei: </w:t>
      </w:r>
      <w:r>
        <w:rPr>
          <w:color w:val="212121"/>
          <w:sz w:val="22"/>
        </w:rPr>
        <w:t>Analiza impactului condițiilor hidrologice asupra performanței financiare prin gruparea anilor după tipul hidrologic și calculul statisticilor agregate per grup. Analiza segmentelor operaționale (Producere vs. Furnizare).</w:t>
      </w:r>
    </w:p>
    <w:p>
      <w:pPr>
        <w:spacing w:before="100" w:after="40"/>
      </w:pPr>
      <w:r>
        <w:rPr>
          <w:b/>
          <w:color w:val="1A5276"/>
          <w:sz w:val="22"/>
        </w:rPr>
        <w:t xml:space="preserve">b) Informații necesare: </w:t>
      </w:r>
      <w:r>
        <w:rPr>
          <w:color w:val="212121"/>
          <w:sz w:val="22"/>
        </w:rPr>
        <w:t>Date financiare + macro combinate prin pd.merge(df_filtrat, df_macro, on='an'). Segmentare cu pd.cut(index_precipitatii, bins=[0,80,100,150]). Date segmente: hidroelectrica_segmente_2023_2025.csv.</w:t>
      </w:r>
    </w:p>
    <w:p>
      <w:pPr>
        <w:spacing w:before="100" w:after="40"/>
      </w:pPr>
      <w:r>
        <w:rPr>
          <w:b/>
          <w:color w:val="1A5276"/>
          <w:sz w:val="22"/>
        </w:rPr>
        <w:t xml:space="preserve">c) Metode de calcul: </w:t>
      </w:r>
      <w:r>
        <w:rPr>
          <w:color w:val="212121"/>
          <w:sz w:val="22"/>
        </w:rPr>
        <w:t>groupby('categorie_hidro').agg(nr_ani=('an','count'), venituri_medii=('venituri_totale','mean'), profit_mediu=('profit_net','mean'), marja_medie=('marja_ebitda_pct','mean'), productie_medie=('productie_hidro_gwh','mean')). Matrice corelație: df.corr() cu Pearson. Segmente: groupby('segment').agg(mean, max, min, count).</w:t>
      </w:r>
    </w:p>
    <w:p>
      <w:pPr>
        <w:spacing w:before="100" w:after="40"/>
      </w:pPr>
      <w:r>
        <w:rPr>
          <w:b/>
          <w:color w:val="1A5276"/>
          <w:sz w:val="22"/>
        </w:rPr>
        <w:t xml:space="preserve">d) Prezentarea rezultatelor: </w:t>
      </w:r>
      <w:r>
        <w:rPr>
          <w:color w:val="212121"/>
          <w:sz w:val="22"/>
        </w:rPr>
        <w:t>Tabel impact hidraulicitate: An ploios (2023) → venituri medii 12.16 mld RON, marjă 65.8%. An secetos (2022, 2025) → venituri medii 9.54 mld RON, marjă 55.6%. Diferență: +60% venituri în ani ploioși față de ani secetoși. Corelație producție hidro — profit net: r ≈ 0.96.</w:t>
      </w:r>
    </w:p>
    <w:p>
      <w:pPr>
        <w:spacing w:before="100" w:after="40"/>
      </w:pPr>
      <w:r>
        <w:rPr>
          <w:b/>
          <w:color w:val="1A5276"/>
          <w:sz w:val="22"/>
        </w:rPr>
        <w:t xml:space="preserve">e) Interpretarea economică: </w:t>
      </w:r>
      <w:r>
        <w:rPr>
          <w:color w:val="212121"/>
          <w:sz w:val="22"/>
        </w:rPr>
        <w:t>Dependența de hidraulicitate este cuantificată: 1% creștere în indicele precipitațiilor generează aproximativ 0.6–0.8% creștere în venituri. Segmentul Furnizare a depășit Producerea în 2025 (5.50 vs. 4.11 mld RON) — o schimbare structurală istorică ce reduce expunerea la risc hidrologic.</w:t>
      </w:r>
    </w:p>
    <w:p/>
    <w:p>
      <w:pPr>
        <w:spacing w:before="280" w:after="80"/>
      </w:pPr>
      <w:r>
        <w:rPr>
          <w:b/>
          <w:color w:val="FFFFFF"/>
          <w:sz w:val="22"/>
        </w:rPr>
        <w:t xml:space="preserve">  FUNCTIA PY-7  </w:t>
      </w:r>
      <w:r>
        <w:rPr>
          <w:b/>
          <w:color w:val="1B5E20"/>
          <w:sz w:val="26"/>
        </w:rPr>
        <w:t xml:space="preserve">  Scikit-learn — Clustering KMeans și Clasificare Logistică</w:t>
      </w:r>
    </w:p>
    <w:p>
      <w:pPr>
        <w:spacing w:before="100" w:after="40"/>
      </w:pPr>
      <w:r>
        <w:rPr>
          <w:b/>
          <w:color w:val="1A5276"/>
          <w:sz w:val="22"/>
        </w:rPr>
        <w:t xml:space="preserve">a) Definirea problemei: </w:t>
      </w:r>
      <w:r>
        <w:rPr>
          <w:color w:val="212121"/>
          <w:sz w:val="22"/>
        </w:rPr>
        <w:t>1) Clustering KMeans: gruparea celor 30 de centrale după caracteristici tehnice pentru identificarea profilelor operaționale distincte. 2) Clasificare: predicția tipului de centrală (acumulare vs. altele) cu regresie logistică și evaluare LOO cross-validation.</w:t>
      </w:r>
    </w:p>
    <w:p>
      <w:pPr>
        <w:spacing w:before="100" w:after="40"/>
      </w:pPr>
      <w:r>
        <w:rPr>
          <w:b/>
          <w:color w:val="1A5276"/>
          <w:sz w:val="22"/>
        </w:rPr>
        <w:t xml:space="preserve">b) Informații necesare: </w:t>
      </w:r>
      <w:r>
        <w:rPr>
          <w:color w:val="212121"/>
          <w:sz w:val="22"/>
        </w:rPr>
        <w:t>Clustering: features [putere_mw, productie_gwh_an, an_punere_functiune, factor_utilizare], n=30 centrale. Clasificare: features [putere_mw, factor_utilizare, productie_per_mw, an_punere_functiune], target: tip_acumulare ∈ {0,1}.</w:t>
      </w:r>
    </w:p>
    <w:p>
      <w:pPr>
        <w:spacing w:before="100" w:after="40"/>
      </w:pPr>
      <w:r>
        <w:rPr>
          <w:b/>
          <w:color w:val="1A5276"/>
          <w:sz w:val="22"/>
        </w:rPr>
        <w:t xml:space="preserve">c) Metode de calcul / algoritmi: </w:t>
      </w:r>
      <w:r>
        <w:rPr>
          <w:color w:val="212121"/>
          <w:sz w:val="22"/>
        </w:rPr>
        <w:t>KMeans(n_clusters=4, random_state=42, n_init=10).fit_predict(X_scaled). Metrici validare: silhouette_score (0.454 pt K=4), calinski_harabasz_score, davies_bouldin_score. Elbow Method (inerție WCSS). LogisticRegression(max_iter=1000) cu LeaveOneOut CV (n_splits=30). Matrice de confuzie, accuracy_score.</w:t>
      </w:r>
    </w:p>
    <w:p>
      <w:pPr>
        <w:spacing w:before="100" w:after="40"/>
      </w:pPr>
      <w:r>
        <w:rPr>
          <w:b/>
          <w:color w:val="1A5276"/>
          <w:sz w:val="22"/>
        </w:rPr>
        <w:t xml:space="preserve">d) Prezentarea rezultatelor: </w:t>
      </w:r>
      <w:r>
        <w:rPr>
          <w:color w:val="212121"/>
          <w:sz w:val="22"/>
        </w:rPr>
        <w:t>Clustering K=4: Cluster 0 — Porțile de Fier (outlier putere); Cluster 1 — centrale mari acumulare (Ciunget, Riul Mare, Malaia); Cluster 2 — centrale medii acumulare (Vidraru, Bicaz, Fantânele); Cluster 3 — centrale mici pe firul apei (sistemul Olt). Clasificare LOO: acuratețe 90% (27/30 centrale clasificate corect), depășind baseline-ul majoritar de 53%.</w:t>
      </w:r>
    </w:p>
    <w:p>
      <w:pPr>
        <w:spacing w:before="100" w:after="40"/>
      </w:pPr>
      <w:r>
        <w:rPr>
          <w:b/>
          <w:color w:val="1A5276"/>
          <w:sz w:val="22"/>
        </w:rPr>
        <w:t xml:space="preserve">e) Interpretarea economică: </w:t>
      </w:r>
      <w:r>
        <w:rPr>
          <w:color w:val="212121"/>
          <w:sz w:val="22"/>
        </w:rPr>
        <w:t>Clusterele relevă un portofoliu asimetric: 2 centrale fluviale (Porțile de Fier) contribuie cu ~32% din producția totală. Clasificatorul logistic confirmă că factorul de utilizare este cel mai discriminant predictor (coef. 1.82): centralele de acumulare controlează debitul independent de precipitații, obținând factori de utilizare mai stabili și predictibili.</w:t>
      </w:r>
    </w:p>
    <w:p/>
    <w:p>
      <w:pPr>
        <w:spacing w:before="280" w:after="80"/>
      </w:pPr>
      <w:r>
        <w:rPr>
          <w:b/>
          <w:color w:val="FFFFFF"/>
          <w:sz w:val="22"/>
        </w:rPr>
        <w:t xml:space="preserve">  FUNCTIA PY-8  </w:t>
      </w:r>
      <w:r>
        <w:rPr>
          <w:b/>
          <w:color w:val="1B5E20"/>
          <w:sz w:val="26"/>
        </w:rPr>
        <w:t xml:space="preserve">  Statsmodels — Regresie Multiplă OLS</w:t>
      </w:r>
    </w:p>
    <w:p>
      <w:pPr>
        <w:spacing w:before="100" w:after="40"/>
      </w:pPr>
      <w:r>
        <w:rPr>
          <w:b/>
          <w:color w:val="1A5276"/>
          <w:sz w:val="22"/>
        </w:rPr>
        <w:t xml:space="preserve">a) Definirea problemei: </w:t>
      </w:r>
      <w:r>
        <w:rPr>
          <w:color w:val="212121"/>
          <w:sz w:val="22"/>
        </w:rPr>
        <w:t>Estimarea unui model de regresie liniară multiplă OLS care să cuantifice relația dintre puterea instalată, tipul și vechimea centralelor și producția anuală (GWh), pe un eșantion de n=30 centrale.</w:t>
      </w:r>
    </w:p>
    <w:p>
      <w:pPr>
        <w:spacing w:before="100" w:after="40"/>
      </w:pPr>
      <w:r>
        <w:rPr>
          <w:b/>
          <w:color w:val="1A5276"/>
          <w:sz w:val="22"/>
        </w:rPr>
        <w:t xml:space="preserve">b) Informații necesare: </w:t>
      </w:r>
      <w:r>
        <w:rPr>
          <w:color w:val="212121"/>
          <w:sz w:val="22"/>
        </w:rPr>
        <w:t>Variabila dependentă: productie_gwh_an (GWh/an). Variabile independente: putere_mw, an_punere_functiune, tip_enc (LabelEncoder). Dataset: hidroelectrica_centrale.csv, n=30, k=3 predictori → df=26.</w:t>
      </w:r>
    </w:p>
    <w:p>
      <w:pPr>
        <w:spacing w:before="100" w:after="40"/>
      </w:pPr>
      <w:r>
        <w:rPr>
          <w:b/>
          <w:color w:val="1A5276"/>
          <w:sz w:val="22"/>
        </w:rPr>
        <w:t xml:space="preserve">c) Metode de calcul / formule: </w:t>
      </w:r>
      <w:r>
        <w:rPr>
          <w:color w:val="212121"/>
          <w:sz w:val="22"/>
        </w:rPr>
        <w:t>OLS: Y = β₀ + β₁·putere_mw + β₂·an_PIF + β₃·tip_enc + ε. sm.add_constant(X) adaugă interceptul. sm.OLS(y, X).fit(). Diagnostice: model.rsquared, model.rsquared_adj, model.fvalue, model.pvalues, model.bse (erori std.), model.conf_int() IC 95%. Grafic reziduale, intervalul de predicție get_prediction().conf_int().</w:t>
      </w:r>
    </w:p>
    <w:p>
      <w:pPr>
        <w:spacing w:before="100" w:after="40"/>
      </w:pPr>
      <w:r>
        <w:rPr>
          <w:b/>
          <w:color w:val="1A5276"/>
          <w:sz w:val="22"/>
        </w:rPr>
        <w:t xml:space="preserve">d) Prezentarea rezultatelor: </w:t>
      </w:r>
      <w:r>
        <w:rPr>
          <w:color w:val="212121"/>
          <w:sz w:val="22"/>
        </w:rPr>
        <w:t>R² = 0.961, R² ajustat = 0.956, F-statistic = 210.4 (p &lt; 0.0001). Coeficienți: β₁(putere_mw) = 2.27 GWh/MW (p&lt;0.001, ***). β₂(an_PIF) = -1.8 GWh/an (nesemnificativ, p=0.23). β₃(tip_enc) = -120 GWh (p=0.04, **). Portile de Fier I apare ca outlier major în graficul de reziduale (+1.800 GWh).</w:t>
      </w:r>
    </w:p>
    <w:p>
      <w:pPr>
        <w:spacing w:before="100" w:after="40"/>
      </w:pPr>
      <w:r>
        <w:rPr>
          <w:b/>
          <w:color w:val="1A5276"/>
          <w:sz w:val="22"/>
        </w:rPr>
        <w:t xml:space="preserve">e) Interpretarea economică: </w:t>
      </w:r>
      <w:r>
        <w:rPr>
          <w:color w:val="212121"/>
          <w:sz w:val="22"/>
        </w:rPr>
        <w:t>Fiecare MW instalat în plus generează în medie 2.27 GWh producție anuală (coeficient foarte semnificativ). Porțile de Fier I este outlier datorită caracteristicilor regimului Dunării (acord bilateral România–Serbia) — factorul de utilizare limitat normativ la ~56%, nu determinat de precipitații. Modelul este utilizat pentru prognoza producției centralelor noi (solar+eolian).</w:t>
      </w:r>
    </w:p>
    <w:p/>
    <w:p>
      <w:pPr>
        <w:spacing w:before="280" w:after="80"/>
      </w:pPr>
      <w:r>
        <w:rPr>
          <w:b/>
          <w:color w:val="FFFFFF"/>
          <w:sz w:val="22"/>
        </w:rPr>
        <w:t xml:space="preserve">  FUNCTIA PY-9  </w:t>
      </w:r>
      <w:r>
        <w:rPr>
          <w:b/>
          <w:color w:val="1B5E20"/>
          <w:sz w:val="26"/>
        </w:rPr>
        <w:t xml:space="preserve">  ML Avansat — Ridge, Random Forest, XGBoost + LOO CV</w:t>
      </w:r>
    </w:p>
    <w:p>
      <w:pPr>
        <w:spacing w:before="100" w:after="40"/>
      </w:pPr>
      <w:r>
        <w:rPr>
          <w:b/>
          <w:color w:val="1A5276"/>
          <w:sz w:val="22"/>
        </w:rPr>
        <w:t xml:space="preserve">a) Definirea problemei: </w:t>
      </w:r>
      <w:r>
        <w:rPr>
          <w:color w:val="212121"/>
          <w:sz w:val="22"/>
        </w:rPr>
        <w:t>Compararea performanței mai multor modele ML pentru predicția producției anuale a centralelor (n=30), cu evaluare robustă LOO cross-validation și tratarea outlierului Porțile de Fier prin log-transformare.</w:t>
      </w:r>
    </w:p>
    <w:p>
      <w:pPr>
        <w:spacing w:before="100" w:after="40"/>
      </w:pPr>
      <w:r>
        <w:rPr>
          <w:b/>
          <w:color w:val="1A5276"/>
          <w:sz w:val="22"/>
        </w:rPr>
        <w:t xml:space="preserve">b) Informații necesare: </w:t>
      </w:r>
      <w:r>
        <w:rPr>
          <w:color w:val="212121"/>
          <w:sz w:val="22"/>
        </w:rPr>
        <w:t>Features: [putere_mw, an_PIF, factor_utilizare, productie_per_mw, pe_dunare, tip_enc, cluster_kmeans]. Target: productie_gwh_an sau log(1+y). Modele: LinearRegression (baseline), Ridge(α=10), RandomForestRegressor(n_estimators=300), XGBRegressor(n_estimators=200).</w:t>
      </w:r>
    </w:p>
    <w:p>
      <w:pPr>
        <w:spacing w:before="100" w:after="40"/>
      </w:pPr>
      <w:r>
        <w:rPr>
          <w:b/>
          <w:color w:val="1A5276"/>
          <w:sz w:val="22"/>
        </w:rPr>
        <w:t xml:space="preserve">c) Metode de calcul / algoritmi: </w:t>
      </w:r>
      <w:r>
        <w:rPr>
          <w:color w:val="212121"/>
          <w:sz w:val="22"/>
        </w:rPr>
        <w:t>LOO CV: LeaveOneOut().split(X) → n_splits=30. Log-transform: y_train=log1p(y_orig), y_pred=expm1(y_pred_raw). Ridge: regularizare L2, penalizare ‖β‖². RF: bagging de arbori CART, feature_importances_ din impuritate Gini. XGBoost: gradient boosting, max_depth=3, learning_rate=0.1. Metrici: MAE, RMSE, R² calculați pe valorile originale (GWh).</w:t>
      </w:r>
    </w:p>
    <w:p>
      <w:pPr>
        <w:spacing w:before="100" w:after="40"/>
      </w:pPr>
      <w:r>
        <w:rPr>
          <w:b/>
          <w:color w:val="1A5276"/>
          <w:sz w:val="22"/>
        </w:rPr>
        <w:t xml:space="preserve">d) Prezentarea rezultatelor: </w:t>
      </w:r>
      <w:r>
        <w:rPr>
          <w:color w:val="212121"/>
          <w:sz w:val="22"/>
        </w:rPr>
        <w:t>Tabel comparativ LOO CV: Linear Regression R²=0.82, MAE=380 GWh; Ridge(log) R²=0.88, MAE=295 GWh; Random Forest(log) R²=0.91, MAE=248 GWh; XGBoost(log) R²=0.89, MAE=271 GWh. Feature importance RF: putere_mw (42%), pe_dunare (28%), factor_utilizare (15%). Eroare Porțile de Fier I: LR=+1800 GWh, RF=+420 GWh (↓ cu log-transform).</w:t>
      </w:r>
    </w:p>
    <w:p>
      <w:pPr>
        <w:spacing w:before="100" w:after="40"/>
      </w:pPr>
      <w:r>
        <w:rPr>
          <w:b/>
          <w:color w:val="1A5276"/>
          <w:sz w:val="22"/>
        </w:rPr>
        <w:t xml:space="preserve">e) Interpretarea economică: </w:t>
      </w:r>
      <w:r>
        <w:rPr>
          <w:color w:val="212121"/>
          <w:sz w:val="22"/>
        </w:rPr>
        <w:t>Random Forest cu log-transformare oferă cel mai bun echilibru bias-varianță pe acest dataset mic (n=30). Variabila pe_dunare (centrală pe Dunăre) capturează regimul juridic internațional care limitează debitul la Porțile de Fier — o informație structurală imposibil de desprins din caracteristicile tehnice brute. Log-transformul comprimă outlierul de la 3.800 GWh diferență la 1.3 în spațiul log.</w:t>
      </w:r>
    </w:p>
    <w:p>
      <w:r>
        <w:br w:type="page"/>
      </w:r>
    </w:p>
    <w:p>
      <w:pPr>
        <w:spacing w:before="360" w:after="120"/>
      </w:pPr>
      <w:r>
        <w:rPr>
          <w:b/>
          <w:color w:val="BF3600"/>
          <w:sz w:val="32"/>
        </w:rPr>
        <w:t>SECȚIUNEA 2 — SAS</w:t>
      </w:r>
    </w:p>
    <w:p>
      <w:pPr>
        <w:spacing w:after="80"/>
        <w:ind w:firstLine="0"/>
      </w:pPr>
      <w:r>
        <w:rPr>
          <w:color w:val="212121"/>
          <w:sz w:val="22"/>
        </w:rPr>
        <w:t>Analiza SAS este implementată în fișierul hidroelectrica.sas (~530 linii). Codul acoperă 10 facilități SAS obligatorii, utilizând datele reale Hidroelectrica importate din fișierele CSV. Toate PROC-urile sunt însoțite de titluri descriptive și formatele definite de utilizator sunt aplicate consistent în rapoarte și grafice.</w:t>
      </w:r>
    </w:p>
    <w:p>
      <w:pPr>
        <w:spacing w:after="80"/>
        <w:ind w:firstLine="0"/>
      </w:pPr>
      <w:r>
        <w:rPr>
          <w:color w:val="212121"/>
          <w:sz w:val="22"/>
        </w:rPr>
        <w:t>Setarea de lucru:</w:t>
      </w:r>
    </w:p>
    <w:p>
      <w:pPr>
        <w:spacing w:before="40" w:after="40"/>
        <w:ind w:left="567"/>
      </w:pPr>
      <w:r>
        <w:rPr>
          <w:rFonts w:ascii="Courier New" w:hAnsi="Courier New"/>
          <w:color w:val="1A237E"/>
          <w:sz w:val="18"/>
        </w:rPr>
        <w:t>options nodate nonumber pagesize=60 linesize=120 validvarname=v7;</w:t>
      </w:r>
    </w:p>
    <w:p>
      <w:pPr>
        <w:spacing w:before="40" w:after="40"/>
        <w:ind w:left="567"/>
      </w:pPr>
      <w:r>
        <w:rPr>
          <w:rFonts w:ascii="Courier New" w:hAnsi="Courier New"/>
          <w:color w:val="1A237E"/>
          <w:sz w:val="18"/>
        </w:rPr>
        <w:t>%let data_path = C:\...\Hidroelectrica\date;</w:t>
      </w:r>
    </w:p>
    <w:p/>
    <w:p>
      <w:pPr>
        <w:spacing w:before="280" w:after="80"/>
      </w:pPr>
      <w:r>
        <w:rPr>
          <w:b/>
          <w:color w:val="FFFFFF"/>
          <w:sz w:val="22"/>
        </w:rPr>
        <w:t xml:space="preserve">  FUNCTIA SAS-1  </w:t>
      </w:r>
      <w:r>
        <w:rPr>
          <w:b/>
          <w:color w:val="BF3600"/>
          <w:sz w:val="26"/>
        </w:rPr>
        <w:t xml:space="preserve">  Creare Seturi de Date din Fișiere Externe — PROC IMPORT</w:t>
      </w:r>
    </w:p>
    <w:p>
      <w:pPr>
        <w:spacing w:before="100" w:after="40"/>
      </w:pPr>
      <w:r>
        <w:rPr>
          <w:b/>
          <w:color w:val="1A5276"/>
          <w:sz w:val="22"/>
        </w:rPr>
        <w:t xml:space="preserve">a) Definirea problemei: </w:t>
      </w:r>
      <w:r>
        <w:rPr>
          <w:color w:val="212121"/>
          <w:sz w:val="22"/>
        </w:rPr>
        <w:t>Importul celor 5 fișiere CSV cu date Hidroelectrica în seturi de date SAS native, cu detectarea automată a tipurilor de variabile și a antetelor coloanelor.</w:t>
      </w:r>
    </w:p>
    <w:p>
      <w:pPr>
        <w:spacing w:before="100" w:after="40"/>
      </w:pPr>
      <w:r>
        <w:rPr>
          <w:b/>
          <w:color w:val="1A5276"/>
          <w:sz w:val="22"/>
        </w:rPr>
        <w:t xml:space="preserve">b) Informații necesare: </w:t>
      </w:r>
      <w:r>
        <w:rPr>
          <w:color w:val="212121"/>
          <w:sz w:val="22"/>
        </w:rPr>
        <w:t>5 fișiere CSV: consolidat_2021_2025 (5 obs × 40 var), centrale (30 obs × 10 var), macro_operationale (5 obs × 13 var), segmente_2023_2025 (12 obs × 10 var), cashflow_2024_2025 (4 obs × 7 var). Separator: virgulă; antet: prima linie.</w:t>
      </w:r>
    </w:p>
    <w:p>
      <w:pPr>
        <w:spacing w:before="100" w:after="40"/>
      </w:pPr>
      <w:r>
        <w:rPr>
          <w:b/>
          <w:color w:val="1A5276"/>
          <w:sz w:val="22"/>
        </w:rPr>
        <w:t xml:space="preserve">c) Metode de calcul: </w:t>
      </w:r>
      <w:r>
        <w:rPr>
          <w:color w:val="212121"/>
          <w:sz w:val="22"/>
        </w:rPr>
        <w:t>PROC IMPORT cu DBMS=CSV, GUESSINGROWS=100 (pentru inferența tipului pe toate rândurile), GETNAMES=YES (preia antetul ca nume de variabile), REPLACE (suprascrie dacă există).</w:t>
      </w:r>
    </w:p>
    <w:p>
      <w:pPr>
        <w:spacing w:before="100" w:after="40"/>
      </w:pPr>
      <w:r>
        <w:rPr>
          <w:b/>
          <w:color w:val="1A5276"/>
          <w:sz w:val="22"/>
        </w:rPr>
        <w:t xml:space="preserve">d) Prezentarea rezultatelor: </w:t>
      </w:r>
      <w:r>
        <w:rPr>
          <w:color w:val="212121"/>
          <w:sz w:val="22"/>
        </w:rPr>
        <w:t>5 seturi de date create în WORK library: work.financiar (n=5, 40 variabile), work.centrale (n=30, 10 variabile), work.macro (n=5, 13 variabile), work.segmente (n=12, 10 variabile), work.cashflow (n=4, 7 variabile). PROC PRINT de verificare pentru primele două seturi.</w:t>
      </w:r>
    </w:p>
    <w:p>
      <w:pPr>
        <w:spacing w:before="100" w:after="40"/>
      </w:pPr>
      <w:r>
        <w:rPr>
          <w:b/>
          <w:color w:val="1A5276"/>
          <w:sz w:val="22"/>
        </w:rPr>
        <w:t xml:space="preserve">e) Interpretarea economică: </w:t>
      </w:r>
      <w:r>
        <w:rPr>
          <w:color w:val="212121"/>
          <w:sz w:val="22"/>
        </w:rPr>
        <w:t>Structura datelor reflectă organizarea raportărilor financiare: situații consolidate (grup Hidroelectrica) și individuale (entitate juridică separată). Diferențele minime între consolidat și individual confirmă că subsidiare au impact nesemnificativ — Hidroelectrica operează practic ca entitate unitară.</w:t>
      </w:r>
    </w:p>
    <w:p/>
    <w:p>
      <w:pPr>
        <w:spacing w:before="280" w:after="80"/>
      </w:pPr>
      <w:r>
        <w:rPr>
          <w:b/>
          <w:color w:val="FFFFFF"/>
          <w:sz w:val="22"/>
        </w:rPr>
        <w:t xml:space="preserve">  FUNCTIA SAS-2  </w:t>
      </w:r>
      <w:r>
        <w:rPr>
          <w:b/>
          <w:color w:val="BF3600"/>
          <w:sz w:val="26"/>
        </w:rPr>
        <w:t xml:space="preserve">  Formate Definite de Utilizator — PROC FORMAT</w:t>
      </w:r>
    </w:p>
    <w:p>
      <w:pPr>
        <w:spacing w:before="100" w:after="40"/>
      </w:pPr>
      <w:r>
        <w:rPr>
          <w:b/>
          <w:color w:val="1A5276"/>
          <w:sz w:val="22"/>
        </w:rPr>
        <w:t xml:space="preserve">a) Definirea problemei: </w:t>
      </w:r>
      <w:r>
        <w:rPr>
          <w:color w:val="212121"/>
          <w:sz w:val="22"/>
        </w:rPr>
        <w:t>Crearea formatelor SAS personalizate care transformă valorile numerice brute (an, procente, RON) și valorile caracter în etichete descriptive economice, pentru rapoarte profesionale și lizibile.</w:t>
      </w:r>
    </w:p>
    <w:p>
      <w:pPr>
        <w:spacing w:before="100" w:after="40"/>
      </w:pPr>
      <w:r>
        <w:rPr>
          <w:b/>
          <w:color w:val="1A5276"/>
          <w:sz w:val="22"/>
        </w:rPr>
        <w:t xml:space="preserve">b) Informații necesare: </w:t>
      </w:r>
      <w:r>
        <w:rPr>
          <w:color w:val="212121"/>
          <w:sz w:val="22"/>
        </w:rPr>
        <w:t>Praguri domeniu: marja EBITDA (sub 50% / 50–65% / peste 65%), putere instalată (sub 50 / 50–200 / 200–500 / peste 500 MW), profit net (sub 3.5 / 3.5–5 / peste 5 mld RON), vârsta centralei (modernă / matură / veche).</w:t>
      </w:r>
    </w:p>
    <w:p>
      <w:pPr>
        <w:spacing w:before="100" w:after="40"/>
      </w:pPr>
      <w:r>
        <w:rPr>
          <w:b/>
          <w:color w:val="1A5276"/>
          <w:sz w:val="22"/>
        </w:rPr>
        <w:t xml:space="preserve">c) Metode de calcul: </w:t>
      </w:r>
      <w:r>
        <w:rPr>
          <w:color w:val="212121"/>
          <w:sz w:val="22"/>
        </w:rPr>
        <w:t>PROC FORMAT cu VALUE (variabile numerice) și VALUE $ (variabile caracter). 6 formate create: an_hidro_fmt., marja_fmt., $tip_fmt., putere_fmt., profit_fmt., varsta_fmt.</w:t>
      </w:r>
    </w:p>
    <w:p>
      <w:pPr>
        <w:spacing w:before="100" w:after="40"/>
      </w:pPr>
      <w:r>
        <w:rPr>
          <w:b/>
          <w:color w:val="1A5276"/>
          <w:sz w:val="22"/>
        </w:rPr>
        <w:t xml:space="preserve">d) Prezentarea rezultatelor: </w:t>
      </w:r>
      <w:r>
        <w:rPr>
          <w:color w:val="212121"/>
          <w:sz w:val="22"/>
        </w:rPr>
        <w:t>Exemplu: an=2023 → '2023 — Ploios (118)'; marja_ebitda_pct=65.79 → 'Exc. (&gt;65%)'; profit_net=6.37mld → 'Peste 5 mld RON'; tip='acumulare' → 'Acumulare'. Formatele sunt aplicate în toate PROC PRINT, PROC REPORT și PROC TABULATE.</w:t>
      </w:r>
    </w:p>
    <w:p>
      <w:pPr>
        <w:spacing w:before="100" w:after="40"/>
      </w:pPr>
      <w:r>
        <w:rPr>
          <w:b/>
          <w:color w:val="1A5276"/>
          <w:sz w:val="22"/>
        </w:rPr>
        <w:t xml:space="preserve">e) Interpretarea economică: </w:t>
      </w:r>
      <w:r>
        <w:rPr>
          <w:color w:val="212121"/>
          <w:sz w:val="22"/>
        </w:rPr>
        <w:t>Clasificarea marjei EBITDA (sub/între/peste 50-65%) reflectă benchmarkuri reale din sectorul utilităților europene: marja medie sector ~25–35%, Hidroelectrica atingând 47–70% datorită avantajului structural al hidrocentralelor (costul apei uzinate este o taxă reglementată, nu un cost variabil real).</w:t>
      </w:r>
    </w:p>
    <w:p/>
    <w:p>
      <w:pPr>
        <w:spacing w:before="280" w:after="80"/>
      </w:pPr>
      <w:r>
        <w:rPr>
          <w:b/>
          <w:color w:val="FFFFFF"/>
          <w:sz w:val="22"/>
        </w:rPr>
        <w:t xml:space="preserve">  FUNCTIA SAS-3  </w:t>
      </w:r>
      <w:r>
        <w:rPr>
          <w:b/>
          <w:color w:val="BF3600"/>
          <w:sz w:val="26"/>
        </w:rPr>
        <w:t xml:space="preserve">  Procesare Iterativă și Condiționată — DO / IF-THEN-ELSE / SELECT</w:t>
      </w:r>
    </w:p>
    <w:p>
      <w:pPr>
        <w:spacing w:before="100" w:after="40"/>
      </w:pPr>
      <w:r>
        <w:rPr>
          <w:b/>
          <w:color w:val="1A5276"/>
          <w:sz w:val="22"/>
        </w:rPr>
        <w:t xml:space="preserve">a) Definirea problemei: </w:t>
      </w:r>
      <w:r>
        <w:rPr>
          <w:color w:val="212121"/>
          <w:sz w:val="22"/>
        </w:rPr>
        <w:t>Calculul variabilelor derivate complexe pentru caracterizarea sănătății financiare: scor compozit, rata efectivă a impozitului, CAGR venituri, clasificarea tipului de an hidrologic și intensitatea capitalului.</w:t>
      </w:r>
    </w:p>
    <w:p>
      <w:pPr>
        <w:spacing w:before="100" w:after="40"/>
      </w:pPr>
      <w:r>
        <w:rPr>
          <w:b/>
          <w:color w:val="1A5276"/>
          <w:sz w:val="22"/>
        </w:rPr>
        <w:t xml:space="preserve">b) Informații necesare: </w:t>
      </w:r>
      <w:r>
        <w:rPr>
          <w:color w:val="212121"/>
          <w:sz w:val="22"/>
        </w:rPr>
        <w:t>work.financiar — date consolidate 2021–2025. Valori de referință 2021: ROE=16.24%, ROA=13.69%, Marja EBITDA=69.59%. Formula CAGR: ((valoare_an / valoare_baza)^(1/n) - 1) × 100.</w:t>
      </w:r>
    </w:p>
    <w:p>
      <w:pPr>
        <w:spacing w:before="100" w:after="40"/>
      </w:pPr>
      <w:r>
        <w:rPr>
          <w:b/>
          <w:color w:val="1A5276"/>
          <w:sz w:val="22"/>
        </w:rPr>
        <w:t xml:space="preserve">c) Metode de calcul: </w:t>
      </w:r>
      <w:r>
        <w:rPr>
          <w:color w:val="212121"/>
          <w:sz w:val="22"/>
        </w:rPr>
        <w:t>IF-THEN-ELSE pentru clasificarea performanței (Excelentă/Bună/Slabă). Calcul scor compozit ponderat: ROE×40% + Marja_EBITDA×35% + Lichiditate×25%. SELECT-WHEN pentru clasificare multicondiție (tip an hidrologic). DO iterativ pentru calculul CAGR față de 2021 (n_ani = an - 2021). IF conditie THEN calcul ELSE punct (valoare lipsă SAS) pentru protecție la împărțire la 0.</w:t>
      </w:r>
    </w:p>
    <w:p>
      <w:pPr>
        <w:spacing w:before="100" w:after="40"/>
      </w:pPr>
      <w:r>
        <w:rPr>
          <w:b/>
          <w:color w:val="1A5276"/>
          <w:sz w:val="22"/>
        </w:rPr>
        <w:t xml:space="preserve">d) Prezentarea rezultatelor: </w:t>
      </w:r>
      <w:r>
        <w:rPr>
          <w:color w:val="212121"/>
          <w:sz w:val="22"/>
        </w:rPr>
        <w:t>Scor compozit: 2021=58.3, 2022=74.1, 2023=84.7, 2024=62.8, 2025=61.4. CAGR venituri: 2022=45.7%, 2023=36.8%, 2024=12.1%, 2025=10.3%. Rata efectivă impozit: 2021=17.7%, 2022=17.6%, 2023=14.7%, 2024=14.8%, 2025=14.9%. Cost/angajat 2025: 252 mii RON (+27% față de 2021).</w:t>
      </w:r>
    </w:p>
    <w:p>
      <w:pPr>
        <w:spacing w:before="100" w:after="40"/>
      </w:pPr>
      <w:r>
        <w:rPr>
          <w:b/>
          <w:color w:val="1A5276"/>
          <w:sz w:val="22"/>
        </w:rPr>
        <w:t xml:space="preserve">e) Interpretarea economică: </w:t>
      </w:r>
      <w:r>
        <w:rPr>
          <w:color w:val="212121"/>
          <w:sz w:val="22"/>
        </w:rPr>
        <w:t>Scorul compozit 2023 (84.7) reflectă vârful absolut de performanță: tripla convergență favorabilă — hidraulicitate record + preț energie ridicat + creștere volum furnizare retail. Scorul 2025 (61.4) semnalează revenirea la parametri mai puțin favorabili, dar Hidroelectrica rămâne printre cele mai profitabile utilități din Europa Centrală și de Est.</w:t>
      </w:r>
    </w:p>
    <w:p/>
    <w:p>
      <w:pPr>
        <w:spacing w:before="280" w:after="80"/>
      </w:pPr>
      <w:r>
        <w:rPr>
          <w:b/>
          <w:color w:val="FFFFFF"/>
          <w:sz w:val="22"/>
        </w:rPr>
        <w:t xml:space="preserve">  FUNCTIA SAS-4  </w:t>
      </w:r>
      <w:r>
        <w:rPr>
          <w:b/>
          <w:color w:val="BF3600"/>
          <w:sz w:val="26"/>
        </w:rPr>
        <w:t xml:space="preserve">  Subseturi de Date — WHERE, IF cu OUTPUT Multiplu</w:t>
      </w:r>
    </w:p>
    <w:p>
      <w:pPr>
        <w:spacing w:before="100" w:after="40"/>
      </w:pPr>
      <w:r>
        <w:rPr>
          <w:b/>
          <w:color w:val="1A5276"/>
          <w:sz w:val="22"/>
        </w:rPr>
        <w:t xml:space="preserve">a) Definirea problemei: </w:t>
      </w:r>
      <w:r>
        <w:rPr>
          <w:color w:val="212121"/>
          <w:sz w:val="22"/>
        </w:rPr>
        <w:t>Izolarea subpopulațiilor analitice relevante: ani performanți vs. dificili și centrale mari vs. mici, pentru analize diferențiate pe fiecare grup.</w:t>
      </w:r>
    </w:p>
    <w:p>
      <w:pPr>
        <w:spacing w:before="100" w:after="40"/>
      </w:pPr>
      <w:r>
        <w:rPr>
          <w:b/>
          <w:color w:val="1A5276"/>
          <w:sz w:val="22"/>
        </w:rPr>
        <w:t xml:space="preserve">b) Informații necesare: </w:t>
      </w:r>
      <w:r>
        <w:rPr>
          <w:color w:val="212121"/>
          <w:sz w:val="22"/>
        </w:rPr>
        <w:t>Criterii: profit_net &gt; 4 mld RON (ani performanți), marja_ebitda_pct &lt; 60% (ani dificili), putere_mw ≥ 200 MW (centrale mari). tip='acumulare' AND judet='Valcea' (subset geografic).</w:t>
      </w:r>
    </w:p>
    <w:p>
      <w:pPr>
        <w:spacing w:before="100" w:after="40"/>
      </w:pPr>
      <w:r>
        <w:rPr>
          <w:b/>
          <w:color w:val="1A5276"/>
          <w:sz w:val="22"/>
        </w:rPr>
        <w:t xml:space="preserve">c) Metode de calcul: </w:t>
      </w:r>
      <w:r>
        <w:rPr>
          <w:color w:val="212121"/>
          <w:sz w:val="22"/>
        </w:rPr>
        <w:t>WHERE clauză în DATA step pentru subset simplu (filtru la citire). IF cu OUTPUT explicit pentru două destinații simultane din o singură trecere prin date (work.centrale_mari și work.centrale_mici). WHERE + AND pentru filtrare multivariată (tip și județ simultan).</w:t>
      </w:r>
    </w:p>
    <w:p>
      <w:pPr>
        <w:spacing w:before="100" w:after="40"/>
      </w:pPr>
      <w:r>
        <w:rPr>
          <w:b/>
          <w:color w:val="1A5276"/>
          <w:sz w:val="22"/>
        </w:rPr>
        <w:t xml:space="preserve">d) Prezentarea rezultatelor: </w:t>
      </w:r>
      <w:r>
        <w:rPr>
          <w:color w:val="212121"/>
          <w:sz w:val="22"/>
        </w:rPr>
        <w:t>Ani performanți (profit &gt; 4 mld): 2022 (4.46 mld) și 2023 (6.37 mld) — 2 din 5 ani. Ani dificili (marja &lt; 60%): 2024 (60.2%) și 2025 (47.8%) — 2 din 5 ani. Centrale mari (≥200 MW): 9 centrale, totalizând 3.225 MW (91% din total). Centrale acumulare Vâlcea: Ciunget (510 MW), Brădișor (56 MW), Malaia (216 MW) — 3 centrale.</w:t>
      </w:r>
    </w:p>
    <w:p>
      <w:pPr>
        <w:spacing w:before="100" w:after="40"/>
      </w:pPr>
      <w:r>
        <w:rPr>
          <w:b/>
          <w:color w:val="1A5276"/>
          <w:sz w:val="22"/>
        </w:rPr>
        <w:t xml:space="preserve">e) Interpretarea economică: </w:t>
      </w:r>
      <w:r>
        <w:rPr>
          <w:color w:val="212121"/>
          <w:sz w:val="22"/>
        </w:rPr>
        <w:t>Doar 9 din 30 de centrale (30% ca număr) dețin 91% din puterea instalată — portofoliu extrem de concentrat. Centralele mici (sub 50 MW) sunt importante din perspectiva furnizării locale și a reglajului de frecvență în SEN, nu din perspectiva volumului de producție.</w:t>
      </w:r>
    </w:p>
    <w:p/>
    <w:p>
      <w:pPr>
        <w:spacing w:before="280" w:after="80"/>
      </w:pPr>
      <w:r>
        <w:rPr>
          <w:b/>
          <w:color w:val="FFFFFF"/>
          <w:sz w:val="22"/>
        </w:rPr>
        <w:t xml:space="preserve">  FUNCTIA SAS-5  </w:t>
      </w:r>
      <w:r>
        <w:rPr>
          <w:b/>
          <w:color w:val="BF3600"/>
          <w:sz w:val="26"/>
        </w:rPr>
        <w:t xml:space="preserve">  Funcții SAS — Numerice, Caracter, Logice</w:t>
      </w:r>
    </w:p>
    <w:p>
      <w:pPr>
        <w:spacing w:before="100" w:after="40"/>
      </w:pPr>
      <w:r>
        <w:rPr>
          <w:b/>
          <w:color w:val="1A5276"/>
          <w:sz w:val="22"/>
        </w:rPr>
        <w:t xml:space="preserve">a) Definirea problemei: </w:t>
      </w:r>
      <w:r>
        <w:rPr>
          <w:color w:val="212121"/>
          <w:sz w:val="22"/>
        </w:rPr>
        <w:t>Îmbogățirea setului de date al centralelor cu variabile derivate care caracterizează eficiența operațională, structura geografică și gradul de învechire al parcului de centrale.</w:t>
      </w:r>
    </w:p>
    <w:p>
      <w:pPr>
        <w:spacing w:before="100" w:after="40"/>
      </w:pPr>
      <w:r>
        <w:rPr>
          <w:b/>
          <w:color w:val="1A5276"/>
          <w:sz w:val="22"/>
        </w:rPr>
        <w:t xml:space="preserve">b) Informații necesare: </w:t>
      </w:r>
      <w:r>
        <w:rPr>
          <w:color w:val="212121"/>
          <w:sz w:val="22"/>
        </w:rPr>
        <w:t>work.centrale: putere_mw, productie_gwh_an, lat, lon, tip, an_punere_functiune, rau, judet, nume (30 observații).</w:t>
      </w:r>
    </w:p>
    <w:p>
      <w:pPr>
        <w:spacing w:before="100" w:after="40"/>
      </w:pPr>
      <w:r>
        <w:rPr>
          <w:b/>
          <w:color w:val="1A5276"/>
          <w:sz w:val="22"/>
        </w:rPr>
        <w:t xml:space="preserve">c) Metode de calcul / funcții utilizate: </w:t>
      </w:r>
      <w:r>
        <w:rPr>
          <w:color w:val="212121"/>
          <w:sz w:val="22"/>
        </w:rPr>
        <w:t>ROUND(x, precizie) — rotunjire; LOG(x) — transformare logaritmică; SQRT(x) — rădăcina pătrată; ABS(x) — valoare absolută; UPCASE(s) — majuscule; SUBSTR(s,1,3) — primele 3 caractere; LENGTH(STRIP(s)) — lungime fără spații; CATX(sep, s1, s2) — concatenare; PUT(x, format) — conversie numeric→caracter; SELECT-WHEN pentru clasificare.</w:t>
      </w:r>
    </w:p>
    <w:p>
      <w:pPr>
        <w:spacing w:before="100" w:after="40"/>
      </w:pPr>
      <w:r>
        <w:rPr>
          <w:b/>
          <w:color w:val="1A5276"/>
          <w:sz w:val="22"/>
        </w:rPr>
        <w:t xml:space="preserve">d) Prezentarea rezultatelor: </w:t>
      </w:r>
      <w:r>
        <w:rPr>
          <w:color w:val="212121"/>
          <w:sz w:val="22"/>
        </w:rPr>
        <w:t>factor_utilizare: minim 0.058 (Clopotiva), maxim 0.502 (Sadu V). Vârsta medie parc: 50.3 ani (83% din centrale au peste 40 ani — risc retehnologizare). Distribiuție grup vârstă: Moderne ≤30 ani: 2 centrale (7%); Mature 31-50 ani: 5 centrale (17%); Vechi &gt;50 ani: 23 centrale (76%).</w:t>
      </w:r>
    </w:p>
    <w:p>
      <w:pPr>
        <w:spacing w:before="100" w:after="40"/>
      </w:pPr>
      <w:r>
        <w:rPr>
          <w:b/>
          <w:color w:val="1A5276"/>
          <w:sz w:val="22"/>
        </w:rPr>
        <w:t xml:space="preserve">e) Interpretarea economică: </w:t>
      </w:r>
      <w:r>
        <w:rPr>
          <w:color w:val="212121"/>
          <w:sz w:val="22"/>
        </w:rPr>
        <w:t>76% din centrale au peste 50 ani — investiții masive de retehnologizare sunt necesare în perioada 2025–2035. Hidroelectrica a alocat 541 mil. RON investiții corporale în 2025 (față de 284 mil. în 2024, +90%) — confirmat în cashflow. Factorul de utilizare redus al centralelor pe firul apei (0.10–0.15) reflectă dependența directă de debitul natural al râului.</w:t>
      </w:r>
    </w:p>
    <w:p/>
    <w:p>
      <w:pPr>
        <w:spacing w:before="280" w:after="80"/>
      </w:pPr>
      <w:r>
        <w:rPr>
          <w:b/>
          <w:color w:val="FFFFFF"/>
          <w:sz w:val="22"/>
        </w:rPr>
        <w:t xml:space="preserve">  FUNCTIA SAS-6  </w:t>
      </w:r>
      <w:r>
        <w:rPr>
          <w:b/>
          <w:color w:val="BF3600"/>
          <w:sz w:val="26"/>
        </w:rPr>
        <w:t xml:space="preserve">  Combinarea Seturilor de Date — MERGE și PROC SQL</w:t>
      </w:r>
    </w:p>
    <w:p>
      <w:pPr>
        <w:spacing w:before="100" w:after="40"/>
      </w:pPr>
      <w:r>
        <w:rPr>
          <w:b/>
          <w:color w:val="1A5276"/>
          <w:sz w:val="22"/>
        </w:rPr>
        <w:t xml:space="preserve">a) Definirea problemei: </w:t>
      </w:r>
      <w:r>
        <w:rPr>
          <w:color w:val="212121"/>
          <w:sz w:val="22"/>
        </w:rPr>
        <w:t>Integrarea datelor financiare cu datele macro-economice și operaționale pentru analiza corelată a performanței Hidroelectrica față de contextul de piață (preț energie, curs EUR/RON) și hidrologic (precipitații).</w:t>
      </w:r>
    </w:p>
    <w:p>
      <w:pPr>
        <w:spacing w:before="100" w:after="40"/>
      </w:pPr>
      <w:r>
        <w:rPr>
          <w:b/>
          <w:color w:val="1A5276"/>
          <w:sz w:val="22"/>
        </w:rPr>
        <w:t xml:space="preserve">b) Informații necesare: </w:t>
      </w:r>
      <w:r>
        <w:rPr>
          <w:color w:val="212121"/>
          <w:sz w:val="22"/>
        </w:rPr>
        <w:t>work.financiar_calc (5 obs × 45 var) + work.macro (5 obs × 13 var), cheie comună: an (2021–2025). work.segmente (12 obs) + work.macro (5 obs), cheie: an.</w:t>
      </w:r>
    </w:p>
    <w:p>
      <w:pPr>
        <w:spacing w:before="100" w:after="40"/>
      </w:pPr>
      <w:r>
        <w:rPr>
          <w:b/>
          <w:color w:val="1A5276"/>
          <w:sz w:val="22"/>
        </w:rPr>
        <w:t xml:space="preserve">c) Metode de calcul: </w:t>
      </w:r>
      <w:r>
        <w:rPr>
          <w:color w:val="212121"/>
          <w:sz w:val="22"/>
        </w:rPr>
        <w:t>PROC SORT BY an înainte de MERGE (obligatoriu în SAS). MERGE cu IN= pentru controlul observațiilor (inner join simulat cu: if inf and inm). PROC SQL cu INNER JOIN ... ON s.an = m.an, funcții agregate și ROUND(). PROC SQL outobs=N pentru limitarea rândurilor returnate.</w:t>
      </w:r>
    </w:p>
    <w:p>
      <w:pPr>
        <w:spacing w:before="100" w:after="40"/>
      </w:pPr>
      <w:r>
        <w:rPr>
          <w:b/>
          <w:color w:val="1A5276"/>
          <w:sz w:val="22"/>
        </w:rPr>
        <w:t xml:space="preserve">d) Prezentarea rezultatelor: </w:t>
      </w:r>
      <w:r>
        <w:rPr>
          <w:color w:val="212121"/>
          <w:sz w:val="22"/>
        </w:rPr>
        <w:t>Dataset combinat financiar_macro: 5 observații × 58 variabile. Venituri per GWh: 2021=22.9, 2022=47.0, 2023=32.5, 2024=37.0, 2025=37.4 RON/MWh. SQL segment x preț energie: marja Producere 2023=81.4%, 2025=72.4%; marja Furnizare 2023=32.0%, 2025=17.2% (compresie marjă furnizare).</w:t>
      </w:r>
    </w:p>
    <w:p>
      <w:pPr>
        <w:spacing w:before="100" w:after="40"/>
      </w:pPr>
      <w:r>
        <w:rPr>
          <w:b/>
          <w:color w:val="1A5276"/>
          <w:sz w:val="22"/>
        </w:rPr>
        <w:t xml:space="preserve">e) Interpretarea economică: </w:t>
      </w:r>
      <w:r>
        <w:rPr>
          <w:color w:val="212121"/>
          <w:sz w:val="22"/>
        </w:rPr>
        <w:t>Venitul per GWh produs în 2022 (47 RON/MWh) depășește prețul mediu de piață (38.5 RON/MWh), reflectând că Hidroelectrica vindea inclusiv la prețuri spot de criză energetică. Marjele segmentului Furnizare se comprimă dramatic din cauza creșterii costului energiei achiziționate pentru acoperirea cererii clienților finali în perioadele cu hidraulicitate scăzută.</w:t>
      </w:r>
    </w:p>
    <w:p/>
    <w:p>
      <w:pPr>
        <w:spacing w:before="280" w:after="80"/>
      </w:pPr>
      <w:r>
        <w:rPr>
          <w:b/>
          <w:color w:val="FFFFFF"/>
          <w:sz w:val="22"/>
        </w:rPr>
        <w:t xml:space="preserve">  FUNCTIA SAS-7  </w:t>
      </w:r>
      <w:r>
        <w:rPr>
          <w:b/>
          <w:color w:val="BF3600"/>
          <w:sz w:val="26"/>
        </w:rPr>
        <w:t xml:space="preserve">  Masive (Arrays) — ARRAY în DATA Step</w:t>
      </w:r>
    </w:p>
    <w:p>
      <w:pPr>
        <w:spacing w:before="100" w:after="40"/>
      </w:pPr>
      <w:r>
        <w:rPr>
          <w:b/>
          <w:color w:val="1A5276"/>
          <w:sz w:val="22"/>
        </w:rPr>
        <w:t xml:space="preserve">a) Definirea problemei: </w:t>
      </w:r>
      <w:r>
        <w:rPr>
          <w:color w:val="212121"/>
          <w:sz w:val="22"/>
        </w:rPr>
        <w:t>Calculul eficient al indicilor de evoluție față de baza 2021=100 pentru toți indicatorii de rentabilitate și al ponderilor fiecărei categorii de cheltuieli în veniturile totale, fără cod repetitiv.</w:t>
      </w:r>
    </w:p>
    <w:p>
      <w:pPr>
        <w:spacing w:before="100" w:after="40"/>
      </w:pPr>
      <w:r>
        <w:rPr>
          <w:b/>
          <w:color w:val="1A5276"/>
          <w:sz w:val="22"/>
        </w:rPr>
        <w:t xml:space="preserve">b) Informații necesare: </w:t>
      </w:r>
      <w:r>
        <w:rPr>
          <w:color w:val="212121"/>
          <w:sz w:val="22"/>
        </w:rPr>
        <w:t>Valori de referință 2021: ROE=16.24%, ROA=13.69%, Marja netă=48.02%, Marja EBITDA=69.59%. 5 categorii de cheltuieli: angajați, apă uzinată, energie achiziționată, transport/distribuție, amortizare.</w:t>
      </w:r>
    </w:p>
    <w:p>
      <w:pPr>
        <w:spacing w:before="100" w:after="40"/>
      </w:pPr>
      <w:r>
        <w:rPr>
          <w:b/>
          <w:color w:val="1A5276"/>
          <w:sz w:val="22"/>
        </w:rPr>
        <w:t xml:space="preserve">c) Metode de calcul: </w:t>
      </w:r>
      <w:r>
        <w:rPr>
          <w:color w:val="212121"/>
          <w:sz w:val="22"/>
        </w:rPr>
        <w:t>ARRAY rent{4} roe_pct roa_pct marja_neta_pct marja_ebitda_pct; — vectorizare. ARRAY ref_rent{4} _TEMPORARY_ (16.24, 13.69, 48.02, 69.59); — constante. DO i = 1 TO 4; rent_idx{i} = rent{i}/ref_rent{i}*100; END; — iterare vectorizată. SUM(of pondere{*}) — sumă automată pe array. Array secundar pentru cheltuieli: ARRAY chelt{5} ... cu DO j = 1 TO 5.</w:t>
      </w:r>
    </w:p>
    <w:p>
      <w:pPr>
        <w:spacing w:before="100" w:after="40"/>
      </w:pPr>
      <w:r>
        <w:rPr>
          <w:b/>
          <w:color w:val="1A5276"/>
          <w:sz w:val="22"/>
        </w:rPr>
        <w:t xml:space="preserve">d) Prezentarea rezultatelor: </w:t>
      </w:r>
      <w:r>
        <w:rPr>
          <w:color w:val="212121"/>
          <w:sz w:val="22"/>
        </w:rPr>
        <w:t>Indici rentabilitate 2023 (față de 2021): ROE=156.7, ROA=159.7, Marja netă=109.0, Marja EBITDA=94.5. Ponderi cheltuieli 2025: angajați=10.6%, apă uzinată=4.6%, energie achiz.=9.5% (față de 1.4% în 2021!), transport=17.0%, amortizare=9.2%. Total monitorizat: 50.9% din venituri (față de 32.5% în 2021).</w:t>
      </w:r>
    </w:p>
    <w:p>
      <w:pPr>
        <w:spacing w:before="100" w:after="40"/>
      </w:pPr>
      <w:r>
        <w:rPr>
          <w:b/>
          <w:color w:val="1A5276"/>
          <w:sz w:val="22"/>
        </w:rPr>
        <w:t xml:space="preserve">e) Interpretarea economică: </w:t>
      </w:r>
      <w:r>
        <w:rPr>
          <w:color w:val="212121"/>
          <w:sz w:val="22"/>
        </w:rPr>
        <w:t>Explozia ponderii energiei achiziționate (de la 1.4% la 9.5% din venituri) este cel mai important risc structural identificat. În 2022, Hidroelectrica cumpăra energie scumpă de pe piața spot pentru a onora contractele de furnizare retail — un cost care a crescut de la 90 mil. RON (2021) la 911 mil. RON (2025). Soluția strategică: extinderea capacității proprii de producție non-hidro.</w:t>
      </w:r>
    </w:p>
    <w:p/>
    <w:p>
      <w:pPr>
        <w:spacing w:before="280" w:after="80"/>
      </w:pPr>
      <w:r>
        <w:rPr>
          <w:b/>
          <w:color w:val="FFFFFF"/>
          <w:sz w:val="22"/>
        </w:rPr>
        <w:t xml:space="preserve">  FUNCTIA SAS-8  </w:t>
      </w:r>
      <w:r>
        <w:rPr>
          <w:b/>
          <w:color w:val="BF3600"/>
          <w:sz w:val="26"/>
        </w:rPr>
        <w:t xml:space="preserve">  Proceduri de Raportare — PROC PRINT / PROC REPORT / PROC TABULATE</w:t>
      </w:r>
    </w:p>
    <w:p>
      <w:pPr>
        <w:spacing w:before="100" w:after="40"/>
      </w:pPr>
      <w:r>
        <w:rPr>
          <w:b/>
          <w:color w:val="1A5276"/>
          <w:sz w:val="22"/>
        </w:rPr>
        <w:t xml:space="preserve">a) Definirea problemei: </w:t>
      </w:r>
      <w:r>
        <w:rPr>
          <w:color w:val="212121"/>
          <w:sz w:val="22"/>
        </w:rPr>
        <w:t>Generarea de rapoarte profesionale formatate pentru prezentarea rezultatelor analizei financiare și operaționale, cu diferite niveluri de agregare și formate adecvate unui raport de management.</w:t>
      </w:r>
    </w:p>
    <w:p>
      <w:pPr>
        <w:spacing w:before="100" w:after="40"/>
      </w:pPr>
      <w:r>
        <w:rPr>
          <w:b/>
          <w:color w:val="1A5276"/>
          <w:sz w:val="22"/>
        </w:rPr>
        <w:t xml:space="preserve">b) Informații necesare: </w:t>
      </w:r>
      <w:r>
        <w:rPr>
          <w:color w:val="212121"/>
          <w:sz w:val="22"/>
        </w:rPr>
        <w:t>work.financiar_macro (date panel 2021–2025), work.centrale_enriched (date centrale cu variabile derivate), work.cashflow (cashflow 2024–2025).</w:t>
      </w:r>
    </w:p>
    <w:p>
      <w:pPr>
        <w:spacing w:before="100" w:after="40"/>
      </w:pPr>
      <w:r>
        <w:rPr>
          <w:b/>
          <w:color w:val="1A5276"/>
          <w:sz w:val="22"/>
        </w:rPr>
        <w:t xml:space="preserve">c) Metode de calcul: </w:t>
      </w:r>
      <w:r>
        <w:rPr>
          <w:color w:val="212121"/>
          <w:sz w:val="22"/>
        </w:rPr>
        <w:t>PROC PRINT cu VAR, FORMAT, LABEL, NOOBS — raport simplu. PROC REPORT cu DEFINE (GROUP/DISPLAY/COMPUTED), RBREAK/COMPUTE pentru totaluri. PROC TABULATE cu CLASS, VAR, TABLE tridimensional (tip×judet × statistici). KEYLABEL pentru redenumirea statisticilor standard (N, Mean, Sum).</w:t>
      </w:r>
    </w:p>
    <w:p>
      <w:pPr>
        <w:spacing w:before="100" w:after="40"/>
      </w:pPr>
      <w:r>
        <w:rPr>
          <w:b/>
          <w:color w:val="1A5276"/>
          <w:sz w:val="22"/>
        </w:rPr>
        <w:t xml:space="preserve">d) Prezentarea rezultatelor: </w:t>
      </w:r>
      <w:r>
        <w:rPr>
          <w:color w:val="212121"/>
          <w:sz w:val="22"/>
        </w:rPr>
        <w:t>PROC REPORT: tabel sintetic 5 ani cu linie de medie automată (RBREAK AFTER). PROC TABULATE: tabel tip×judet cu N, Medie, Total pentru 4 variabile simultan. PROC PRINT cashflow: formatele comma22.0 asigură lizibilitatea sumelor de miliarde RON.</w:t>
      </w:r>
    </w:p>
    <w:p>
      <w:pPr>
        <w:spacing w:before="100" w:after="40"/>
      </w:pPr>
      <w:r>
        <w:rPr>
          <w:b/>
          <w:color w:val="1A5276"/>
          <w:sz w:val="22"/>
        </w:rPr>
        <w:t xml:space="preserve">e) Interpretarea economică: </w:t>
      </w:r>
      <w:r>
        <w:rPr>
          <w:color w:val="212121"/>
          <w:sz w:val="22"/>
        </w:rPr>
        <w:t>Raportul TABULATE revelă că județul Mehedinți contribuie cu 50.5% din producția totală a celor 30 de centrale (Porțile de Fier I+II: 6.600 GWh), urmat de Vâlcea cu 21.7% (sistemul Olt). Cashflow-ul confirmă că dividendele 2024 (6.29 mld RON) au depășit profitul net contabil (4.13 mld RON) — politică de distribuire care include și dividende din rezervele acumulate anterior.</w:t>
      </w:r>
    </w:p>
    <w:p/>
    <w:p>
      <w:pPr>
        <w:spacing w:before="280" w:after="80"/>
      </w:pPr>
      <w:r>
        <w:rPr>
          <w:b/>
          <w:color w:val="FFFFFF"/>
          <w:sz w:val="22"/>
        </w:rPr>
        <w:t xml:space="preserve">  FUNCTIA SAS-9  </w:t>
      </w:r>
      <w:r>
        <w:rPr>
          <w:b/>
          <w:color w:val="BF3600"/>
          <w:sz w:val="26"/>
        </w:rPr>
        <w:t xml:space="preserve">  Proceduri Statistice — PROC MEANS / PROC FREQ / PROC CORR / PROC REG</w:t>
      </w:r>
    </w:p>
    <w:p>
      <w:pPr>
        <w:spacing w:before="100" w:after="40"/>
      </w:pPr>
      <w:r>
        <w:rPr>
          <w:b/>
          <w:color w:val="1A5276"/>
          <w:sz w:val="22"/>
        </w:rPr>
        <w:t xml:space="preserve">a) Definirea problemei: </w:t>
      </w:r>
      <w:r>
        <w:rPr>
          <w:color w:val="212121"/>
          <w:sz w:val="22"/>
        </w:rPr>
        <w:t>Analiza statistică completă a indicatorilor de performanță: statistici descriptive, distribuții de frecvență, matrice de corelații și modele de regresie liniară multiplă OLS pentru cuantificarea factorilor determinanți.</w:t>
      </w:r>
    </w:p>
    <w:p>
      <w:pPr>
        <w:spacing w:before="100" w:after="40"/>
      </w:pPr>
      <w:r>
        <w:rPr>
          <w:b/>
          <w:color w:val="1A5276"/>
          <w:sz w:val="22"/>
        </w:rPr>
        <w:t xml:space="preserve">b) Informații necesare: </w:t>
      </w:r>
      <w:r>
        <w:rPr>
          <w:color w:val="212121"/>
          <w:sz w:val="22"/>
        </w:rPr>
        <w:t>work.financiar_macro: panel n=5 ani × 58 variabile (date financiare + macro). work.centrale_enriched: secțiune transversală n=30 centrale × 20 variabile.</w:t>
      </w:r>
    </w:p>
    <w:p>
      <w:pPr>
        <w:spacing w:before="100" w:after="40"/>
      </w:pPr>
      <w:r>
        <w:rPr>
          <w:b/>
          <w:color w:val="1A5276"/>
          <w:sz w:val="22"/>
        </w:rPr>
        <w:t xml:space="preserve">c) Metode de calcul: </w:t>
      </w:r>
      <w:r>
        <w:rPr>
          <w:color w:val="212121"/>
          <w:sz w:val="22"/>
        </w:rPr>
        <w:t>PROC MEANS: n, mean, median, std, min, max, cv, skewness, kurtosis. PROC FREQ: tabele de frecvență univariate + tabele de contingență cu chi²-test. PROC CORR: coeficienți Pearson și Spearman, matrice grafică (PLOTS=MATRIX). PROC REG: OLS cu VIF (detecție multicolinearitate), TOL, R (reziduale), CLB (intervale de încredere 95%), PLOTS=(fitplot residuals).</w:t>
      </w:r>
    </w:p>
    <w:p>
      <w:pPr>
        <w:spacing w:before="100" w:after="40"/>
      </w:pPr>
      <w:r>
        <w:rPr>
          <w:b/>
          <w:color w:val="1A5276"/>
          <w:sz w:val="22"/>
        </w:rPr>
        <w:t xml:space="preserve">d) Prezentarea rezultatelor: </w:t>
      </w:r>
      <w:r>
        <w:rPr>
          <w:color w:val="212121"/>
          <w:sz w:val="22"/>
        </w:rPr>
        <w:t>PROC MEANS — venituri_totale: medie=9.37 mld, std=2.07 mld, CV=22.1%, asimetrie=0.78 (distribuție ușor dreaptă). PROC FREQ — tip centrală: Acumulare=12 (40%), Firul apei=16 (53%), Fluvial=2 (7%). PROC CORR — r(profit_net, productie_hidro)=0.96 (Pearson), 1.00 (Spearman). PROC REG (n=30): productie_gwh_an = -4.820 + 2.267×putere_mw; R²=0.961, p&lt;0.0001.</w:t>
      </w:r>
    </w:p>
    <w:p>
      <w:pPr>
        <w:spacing w:before="100" w:after="40"/>
      </w:pPr>
      <w:r>
        <w:rPr>
          <w:b/>
          <w:color w:val="1A5276"/>
          <w:sz w:val="22"/>
        </w:rPr>
        <w:t xml:space="preserve">e) Interpretarea economică: </w:t>
      </w:r>
      <w:r>
        <w:rPr>
          <w:color w:val="212121"/>
          <w:sz w:val="22"/>
        </w:rPr>
        <w:t>Corelația perfectă Spearman (rho=1.00) între producția hidro și profit confirmă că rangul anilor din punct de vedere al profitului este identic cu rangul din punct de vedere al producției — hidraulicitatea determină în totalitate ordinea de performanță. VIF pentru predictorii regresiei multiple pe n=5 nu este calculabil robust (n &lt; k+1 pentru modele cu 4+ predictori), de aceea regresia multiplă se aplică pe n=30 centrale.</w:t>
      </w:r>
    </w:p>
    <w:p/>
    <w:p>
      <w:pPr>
        <w:spacing w:before="280" w:after="80"/>
      </w:pPr>
      <w:r>
        <w:rPr>
          <w:b/>
          <w:color w:val="FFFFFF"/>
          <w:sz w:val="22"/>
        </w:rPr>
        <w:t xml:space="preserve">  FUNCTIA SAS-10  </w:t>
      </w:r>
      <w:r>
        <w:rPr>
          <w:b/>
          <w:color w:val="BF3600"/>
          <w:sz w:val="26"/>
        </w:rPr>
        <w:t xml:space="preserve">  Grafice — PROC SGPLOT / PROC SGPANEL</w:t>
      </w:r>
    </w:p>
    <w:p>
      <w:pPr>
        <w:spacing w:before="100" w:after="40"/>
      </w:pPr>
      <w:r>
        <w:rPr>
          <w:b/>
          <w:color w:val="1A5276"/>
          <w:sz w:val="22"/>
        </w:rPr>
        <w:t xml:space="preserve">a) Definirea problemei: </w:t>
      </w:r>
      <w:r>
        <w:rPr>
          <w:color w:val="212121"/>
          <w:sz w:val="22"/>
        </w:rPr>
        <w:t>Vizualizarea grafică a tendințelor financiare, corelației hidrologie-profit, distribuției puterii instalate și structurii cheltuielilor pentru comunicarea eficientă a rezultatelor analizei.</w:t>
      </w:r>
    </w:p>
    <w:p>
      <w:pPr>
        <w:spacing w:before="100" w:after="40"/>
      </w:pPr>
      <w:r>
        <w:rPr>
          <w:b/>
          <w:color w:val="1A5276"/>
          <w:sz w:val="22"/>
        </w:rPr>
        <w:t xml:space="preserve">b) Informații necesare: </w:t>
      </w:r>
      <w:r>
        <w:rPr>
          <w:color w:val="212121"/>
          <w:sz w:val="22"/>
        </w:rPr>
        <w:t>work.financiar_macro, work.centrale_enriched, work.financiar_indexat, work.cheltuieli_long (format long creat din ARRAY pentru SGPANEL).</w:t>
      </w:r>
    </w:p>
    <w:p>
      <w:pPr>
        <w:spacing w:before="100" w:after="40"/>
      </w:pPr>
      <w:r>
        <w:rPr>
          <w:b/>
          <w:color w:val="1A5276"/>
          <w:sz w:val="22"/>
        </w:rPr>
        <w:t xml:space="preserve">c) Metode de calcul: </w:t>
      </w:r>
      <w:r>
        <w:rPr>
          <w:color w:val="212121"/>
          <w:sz w:val="22"/>
        </w:rPr>
        <w:t>PROC SGPLOT cu: VBAR (bare verticale grupate), SERIES (linii cu markeri), SCATTER (nori de puncte), REG (linie OLS automată), VBOX (boxplot), HIGHLOW (lollipop charts). Y2AXIS pentru axă secundară. PROC SGPANEL cu PANELBY și COLUMNS/ROWS pentru grafice multiple (small multiples). ODS GRAPHICS ON / OFF, WIDTH, HEIGHT pentru controlul dimensiunilor.</w:t>
      </w:r>
    </w:p>
    <w:p>
      <w:pPr>
        <w:spacing w:before="100" w:after="40"/>
      </w:pPr>
      <w:r>
        <w:rPr>
          <w:b/>
          <w:color w:val="1A5276"/>
          <w:sz w:val="22"/>
        </w:rPr>
        <w:t xml:space="preserve">d) Prezentarea rezultatelor: </w:t>
      </w:r>
      <w:r>
        <w:rPr>
          <w:color w:val="212121"/>
          <w:sz w:val="22"/>
        </w:rPr>
        <w:t>5 grafice generate: (1) Bar+Linie: evoluție venituri, profit, marjă EBITDA 2021–2025. (2) Scatter+REG: corelație precipitații → profit net (linie trend roșie). (3) Boxplot+Jitter: distribuție putere pe tip centrală (medianele: acumulare=216, firul apei=25, fluvial=660 MW). (4) Lollipop: Top 15 centrale după producție (Porțile de Fier I: 5.200 GWh). (5) SGPANEL 3×2: evoluția celor 5 categorii de cheltuieli ca % din venituri.</w:t>
      </w:r>
    </w:p>
    <w:p>
      <w:pPr>
        <w:spacing w:before="100" w:after="40"/>
      </w:pPr>
      <w:r>
        <w:rPr>
          <w:b/>
          <w:color w:val="1A5276"/>
          <w:sz w:val="22"/>
        </w:rPr>
        <w:t xml:space="preserve">e) Interpretarea economică: </w:t>
      </w:r>
      <w:r>
        <w:rPr>
          <w:color w:val="212121"/>
          <w:sz w:val="22"/>
        </w:rPr>
        <w:t>Graficul scatter precipitații–profit relevă vizual corelația puternică (R²≈0.92 pe 5 puncte): fiecare punct al indicelui de precipitații (față de baza 100) corespunde cu ~55–60 mil. RON profit suplimentar. SGPANEL cheltuieli evidențiază trendul alarmant: energia achiziționată (roșu) crește de la 1.4% la 9.5% din venituri — cel mai volatil cost și principalul risc structural al modelului de afaceri.</w:t>
      </w:r>
    </w:p>
    <w:p>
      <w:r>
        <w:br w:type="page"/>
      </w:r>
    </w:p>
    <w:p>
      <w:pPr>
        <w:spacing w:before="360" w:after="120"/>
      </w:pPr>
      <w:r>
        <w:rPr>
          <w:b/>
          <w:color w:val="0D2B45"/>
          <w:sz w:val="32"/>
        </w:rPr>
        <w:t>CONCLUZII</w:t>
      </w:r>
    </w:p>
    <w:p>
      <w:pPr>
        <w:spacing w:after="80"/>
        <w:ind w:firstLine="0"/>
      </w:pPr>
      <w:r>
        <w:rPr>
          <w:color w:val="212121"/>
          <w:sz w:val="22"/>
        </w:rPr>
        <w:t>Analiza strategică a activității Hidroelectrica S.A. în perioada 2021–2025, realizată cu Python (Streamlit) și SAS, relevă o companie cu performanțe financiare excepționale dar cu vulnerabilități structurale identificabile.</w:t>
      </w:r>
    </w:p>
    <w:p>
      <w:pPr>
        <w:spacing w:before="240" w:after="80"/>
      </w:pPr>
      <w:r>
        <w:rPr>
          <w:b/>
          <w:color w:val="424242"/>
          <w:sz w:val="26"/>
        </w:rPr>
        <w:t>Concluzii privind performanța financiară</w:t>
      </w:r>
    </w:p>
    <w:p>
      <w:pPr>
        <w:spacing w:after="80"/>
        <w:ind w:firstLine="240"/>
      </w:pPr>
      <w:r>
        <w:rPr>
          <w:color w:val="212121"/>
          <w:sz w:val="22"/>
        </w:rPr>
        <w:t>Vârful de performanță a fost înregistrat în 2023: venituri de 12.16 mld RON (+87% față de 2021), marjă EBITDA de 65.8% și profit net de 6.37 mld RON. Această performanță a fost determinată de confluența a trei factori favorabili: (1) hidraulicitate record (index 118), (2) prețuri ridicate ale energiei, (3) expansiunea portofoliului de clienți retail.</w:t>
      </w:r>
    </w:p>
    <w:p>
      <w:pPr>
        <w:spacing w:after="80"/>
        <w:ind w:firstLine="240"/>
      </w:pPr>
      <w:r>
        <w:rPr>
          <w:color w:val="212121"/>
          <w:sz w:val="22"/>
        </w:rPr>
        <w:t>2025 marchează o deteriorare semnificativă: marjă EBITDA de 47.8% (cea mai slabă din perioadă), cauzată de secetă hidrologică (index 71) și creșterea energiei achiziționate de la 90 mil. RON (2021) la 911 mil. RON.</w:t>
      </w:r>
    </w:p>
    <w:p>
      <w:pPr>
        <w:spacing w:before="240" w:after="80"/>
      </w:pPr>
      <w:r>
        <w:rPr>
          <w:b/>
          <w:color w:val="424242"/>
          <w:sz w:val="26"/>
        </w:rPr>
        <w:t>Concluzii privind potențialul de extindere</w:t>
      </w:r>
    </w:p>
    <w:p>
      <w:pPr>
        <w:spacing w:after="80"/>
        <w:ind w:firstLine="240"/>
      </w:pPr>
      <w:r>
        <w:rPr>
          <w:color w:val="212121"/>
          <w:sz w:val="22"/>
        </w:rPr>
        <w:t>Analiza clusterelor K-Means și a regresiei OLS pe n=30 centrale confirmă că puterea instalată este principalul determinant al producției (β=2.27 GWh/MW, R²=0.961). Extinderea cu 500 MW solar și 200 MW eolian ar genera estimativ +744 GWh/an producție și +357 mil. RON venituri adiționale — reducând dependența de hidraulicitate cu ~5 puncte procentuale.</w:t>
      </w:r>
    </w:p>
    <w:p>
      <w:pPr>
        <w:spacing w:after="80"/>
        <w:ind w:firstLine="240"/>
      </w:pPr>
      <w:r>
        <w:rPr>
          <w:color w:val="212121"/>
          <w:sz w:val="22"/>
        </w:rPr>
        <w:t>Parteneriatul cu MASDAR (Abu Dhabi) și parcul eolian Crucea Nord (operațional 2024) confirmă direcția strategică corectă. Hidroelectrica dispune de capacitatea financiară necesară: cash din exploatare de 4.3–6.4 mld RON/an.</w:t>
      </w:r>
    </w:p>
    <w:p>
      <w:pPr>
        <w:spacing w:before="240" w:after="80"/>
      </w:pPr>
      <w:r>
        <w:rPr>
          <w:b/>
          <w:color w:val="424242"/>
          <w:sz w:val="26"/>
        </w:rPr>
        <w:t>Limitele analizei</w:t>
      </w:r>
    </w:p>
    <w:p>
      <w:pPr>
        <w:spacing w:after="80"/>
        <w:ind w:firstLine="240"/>
      </w:pPr>
      <w:r>
        <w:rPr>
          <w:color w:val="212121"/>
          <w:sz w:val="22"/>
        </w:rPr>
        <w:t>n=5 ani pentru analiza panel (date financiare) limitează robustețea statistică a regresiei multiple și corelațiilor; n=30 centrale pentru analiza cross-secțională oferă rezultate mai fiabile. Prognozele 2026–2027 se bazează pe tendința liniară și nu incorporează scenarii hidrologice sau fluctuații de preț.</w:t>
      </w:r>
    </w:p>
    <w:p/>
    <w:p>
      <w:pPr>
        <w:spacing w:before="240" w:after="80"/>
      </w:pPr>
      <w:r>
        <w:rPr>
          <w:b/>
          <w:color w:val="424242"/>
          <w:sz w:val="26"/>
        </w:rPr>
        <w:t>Sinteza indicatorilor cheie Hidroelectrica 2021–2025</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417"/>
            <w:shd w:val="clear" w:color="auto" w:fill="1A5276"/>
          </w:tcPr>
          <w:p>
            <w:r>
              <w:rPr>
                <w:b/>
                <w:color w:val="FFFFFF"/>
                <w:sz w:val="20"/>
              </w:rPr>
              <w:t>An</w:t>
            </w:r>
          </w:p>
        </w:tc>
        <w:tc>
          <w:tcPr>
            <w:tcW w:type="dxa" w:w="1984"/>
            <w:shd w:val="clear" w:color="auto" w:fill="1A5276"/>
          </w:tcPr>
          <w:p>
            <w:r>
              <w:rPr>
                <w:b/>
                <w:color w:val="FFFFFF"/>
                <w:sz w:val="20"/>
              </w:rPr>
              <w:t>Venituri (mld RON)</w:t>
            </w:r>
          </w:p>
        </w:tc>
        <w:tc>
          <w:tcPr>
            <w:tcW w:type="dxa" w:w="1984"/>
            <w:shd w:val="clear" w:color="auto" w:fill="1A5276"/>
          </w:tcPr>
          <w:p>
            <w:r>
              <w:rPr>
                <w:b/>
                <w:color w:val="FFFFFF"/>
                <w:sz w:val="20"/>
              </w:rPr>
              <w:t>Profit Net (mld RON)</w:t>
            </w:r>
          </w:p>
        </w:tc>
        <w:tc>
          <w:tcPr>
            <w:tcW w:type="dxa" w:w="1984"/>
            <w:shd w:val="clear" w:color="auto" w:fill="1A5276"/>
          </w:tcPr>
          <w:p>
            <w:r>
              <w:rPr>
                <w:b/>
                <w:color w:val="FFFFFF"/>
                <w:sz w:val="20"/>
              </w:rPr>
              <w:t>Marjă EBITDA (%)</w:t>
            </w:r>
          </w:p>
        </w:tc>
        <w:tc>
          <w:tcPr>
            <w:tcW w:type="dxa" w:w="1417"/>
            <w:shd w:val="clear" w:color="auto" w:fill="1A5276"/>
          </w:tcPr>
          <w:p>
            <w:r>
              <w:rPr>
                <w:b/>
                <w:color w:val="FFFFFF"/>
                <w:sz w:val="20"/>
              </w:rPr>
              <w:t>ROE (%)</w:t>
            </w:r>
          </w:p>
        </w:tc>
        <w:tc>
          <w:tcPr>
            <w:tcW w:type="dxa" w:w="1984"/>
            <w:shd w:val="clear" w:color="auto" w:fill="1A5276"/>
          </w:tcPr>
          <w:p>
            <w:r>
              <w:rPr>
                <w:b/>
                <w:color w:val="FFFFFF"/>
                <w:sz w:val="20"/>
              </w:rPr>
              <w:t>Ind. Precip.</w:t>
            </w:r>
          </w:p>
        </w:tc>
      </w:tr>
      <w:tr>
        <w:tc>
          <w:tcPr>
            <w:tcW w:type="dxa" w:w="1417"/>
            <w:shd w:val="clear" w:color="auto" w:fill="EAF2FF"/>
          </w:tcPr>
          <w:p>
            <w:r>
              <w:rPr>
                <w:sz w:val="20"/>
              </w:rPr>
              <w:t>2021</w:t>
            </w:r>
          </w:p>
        </w:tc>
        <w:tc>
          <w:tcPr>
            <w:tcW w:type="dxa" w:w="1984"/>
            <w:shd w:val="clear" w:color="auto" w:fill="EAF2FF"/>
          </w:tcPr>
          <w:p>
            <w:r>
              <w:rPr>
                <w:sz w:val="20"/>
              </w:rPr>
              <w:t>6.49</w:t>
            </w:r>
          </w:p>
        </w:tc>
        <w:tc>
          <w:tcPr>
            <w:tcW w:type="dxa" w:w="1984"/>
            <w:shd w:val="clear" w:color="auto" w:fill="EAF2FF"/>
          </w:tcPr>
          <w:p>
            <w:r>
              <w:rPr>
                <w:sz w:val="20"/>
              </w:rPr>
              <w:t>3.12</w:t>
            </w:r>
          </w:p>
        </w:tc>
        <w:tc>
          <w:tcPr>
            <w:tcW w:type="dxa" w:w="1984"/>
            <w:shd w:val="clear" w:color="auto" w:fill="EAF2FF"/>
          </w:tcPr>
          <w:p>
            <w:r>
              <w:rPr>
                <w:sz w:val="20"/>
              </w:rPr>
              <w:t>69.6%</w:t>
            </w:r>
          </w:p>
        </w:tc>
        <w:tc>
          <w:tcPr>
            <w:tcW w:type="dxa" w:w="1417"/>
            <w:shd w:val="clear" w:color="auto" w:fill="EAF2FF"/>
          </w:tcPr>
          <w:p>
            <w:r>
              <w:rPr>
                <w:sz w:val="20"/>
              </w:rPr>
              <w:t>16.2%</w:t>
            </w:r>
          </w:p>
        </w:tc>
        <w:tc>
          <w:tcPr>
            <w:tcW w:type="dxa" w:w="1984"/>
            <w:shd w:val="clear" w:color="auto" w:fill="EAF2FF"/>
          </w:tcPr>
          <w:p>
            <w:r>
              <w:rPr>
                <w:sz w:val="20"/>
              </w:rPr>
              <w:t>98 (Normal)</w:t>
            </w:r>
          </w:p>
        </w:tc>
      </w:tr>
      <w:tr>
        <w:tc>
          <w:tcPr>
            <w:tcW w:type="dxa" w:w="1417"/>
            <w:shd w:val="clear" w:color="auto" w:fill="FFFFFF"/>
          </w:tcPr>
          <w:p>
            <w:r>
              <w:rPr>
                <w:sz w:val="20"/>
              </w:rPr>
              <w:t>2022</w:t>
            </w:r>
          </w:p>
        </w:tc>
        <w:tc>
          <w:tcPr>
            <w:tcW w:type="dxa" w:w="1984"/>
            <w:shd w:val="clear" w:color="auto" w:fill="FFFFFF"/>
          </w:tcPr>
          <w:p>
            <w:r>
              <w:rPr>
                <w:sz w:val="20"/>
              </w:rPr>
              <w:t>9.45</w:t>
            </w:r>
          </w:p>
        </w:tc>
        <w:tc>
          <w:tcPr>
            <w:tcW w:type="dxa" w:w="1984"/>
            <w:shd w:val="clear" w:color="auto" w:fill="FFFFFF"/>
          </w:tcPr>
          <w:p>
            <w:r>
              <w:rPr>
                <w:sz w:val="20"/>
              </w:rPr>
              <w:t>4.46</w:t>
            </w:r>
          </w:p>
        </w:tc>
        <w:tc>
          <w:tcPr>
            <w:tcW w:type="dxa" w:w="1984"/>
            <w:shd w:val="clear" w:color="auto" w:fill="FFFFFF"/>
          </w:tcPr>
          <w:p>
            <w:r>
              <w:rPr>
                <w:sz w:val="20"/>
              </w:rPr>
              <w:t>63.3%</w:t>
            </w:r>
          </w:p>
        </w:tc>
        <w:tc>
          <w:tcPr>
            <w:tcW w:type="dxa" w:w="1417"/>
            <w:shd w:val="clear" w:color="auto" w:fill="FFFFFF"/>
          </w:tcPr>
          <w:p>
            <w:r>
              <w:rPr>
                <w:sz w:val="20"/>
              </w:rPr>
              <w:t>20.7%</w:t>
            </w:r>
          </w:p>
        </w:tc>
        <w:tc>
          <w:tcPr>
            <w:tcW w:type="dxa" w:w="1984"/>
            <w:shd w:val="clear" w:color="auto" w:fill="FFFFFF"/>
          </w:tcPr>
          <w:p>
            <w:r>
              <w:rPr>
                <w:sz w:val="20"/>
              </w:rPr>
              <w:t>72 (Secetos)</w:t>
            </w:r>
          </w:p>
        </w:tc>
      </w:tr>
      <w:tr>
        <w:tc>
          <w:tcPr>
            <w:tcW w:type="dxa" w:w="1417"/>
            <w:shd w:val="clear" w:color="auto" w:fill="EAF2FF"/>
          </w:tcPr>
          <w:p>
            <w:r>
              <w:rPr>
                <w:sz w:val="20"/>
              </w:rPr>
              <w:t>2023</w:t>
            </w:r>
          </w:p>
        </w:tc>
        <w:tc>
          <w:tcPr>
            <w:tcW w:type="dxa" w:w="1984"/>
            <w:shd w:val="clear" w:color="auto" w:fill="EAF2FF"/>
          </w:tcPr>
          <w:p>
            <w:r>
              <w:rPr>
                <w:sz w:val="20"/>
              </w:rPr>
              <w:t>12.16</w:t>
            </w:r>
          </w:p>
        </w:tc>
        <w:tc>
          <w:tcPr>
            <w:tcW w:type="dxa" w:w="1984"/>
            <w:shd w:val="clear" w:color="auto" w:fill="EAF2FF"/>
          </w:tcPr>
          <w:p>
            <w:r>
              <w:rPr>
                <w:sz w:val="20"/>
              </w:rPr>
              <w:t>6.37</w:t>
            </w:r>
          </w:p>
        </w:tc>
        <w:tc>
          <w:tcPr>
            <w:tcW w:type="dxa" w:w="1984"/>
            <w:shd w:val="clear" w:color="auto" w:fill="EAF2FF"/>
          </w:tcPr>
          <w:p>
            <w:r>
              <w:rPr>
                <w:sz w:val="20"/>
              </w:rPr>
              <w:t>65.8%</w:t>
            </w:r>
          </w:p>
        </w:tc>
        <w:tc>
          <w:tcPr>
            <w:tcW w:type="dxa" w:w="1417"/>
            <w:shd w:val="clear" w:color="auto" w:fill="EAF2FF"/>
          </w:tcPr>
          <w:p>
            <w:r>
              <w:rPr>
                <w:sz w:val="20"/>
              </w:rPr>
              <w:t>25.4%</w:t>
            </w:r>
          </w:p>
        </w:tc>
        <w:tc>
          <w:tcPr>
            <w:tcW w:type="dxa" w:w="1984"/>
            <w:shd w:val="clear" w:color="auto" w:fill="EAF2FF"/>
          </w:tcPr>
          <w:p>
            <w:r>
              <w:rPr>
                <w:sz w:val="20"/>
              </w:rPr>
              <w:t>118 (Ploios)</w:t>
            </w:r>
          </w:p>
        </w:tc>
      </w:tr>
      <w:tr>
        <w:tc>
          <w:tcPr>
            <w:tcW w:type="dxa" w:w="1417"/>
            <w:shd w:val="clear" w:color="auto" w:fill="FFFFFF"/>
          </w:tcPr>
          <w:p>
            <w:r>
              <w:rPr>
                <w:sz w:val="20"/>
              </w:rPr>
              <w:t>2024</w:t>
            </w:r>
          </w:p>
        </w:tc>
        <w:tc>
          <w:tcPr>
            <w:tcW w:type="dxa" w:w="1984"/>
            <w:shd w:val="clear" w:color="auto" w:fill="FFFFFF"/>
          </w:tcPr>
          <w:p>
            <w:r>
              <w:rPr>
                <w:sz w:val="20"/>
              </w:rPr>
              <w:t>9.12</w:t>
            </w:r>
          </w:p>
        </w:tc>
        <w:tc>
          <w:tcPr>
            <w:tcW w:type="dxa" w:w="1984"/>
            <w:shd w:val="clear" w:color="auto" w:fill="FFFFFF"/>
          </w:tcPr>
          <w:p>
            <w:r>
              <w:rPr>
                <w:sz w:val="20"/>
              </w:rPr>
              <w:t>4.13</w:t>
            </w:r>
          </w:p>
        </w:tc>
        <w:tc>
          <w:tcPr>
            <w:tcW w:type="dxa" w:w="1984"/>
            <w:shd w:val="clear" w:color="auto" w:fill="FFFFFF"/>
          </w:tcPr>
          <w:p>
            <w:r>
              <w:rPr>
                <w:sz w:val="20"/>
              </w:rPr>
              <w:t>60.2%</w:t>
            </w:r>
          </w:p>
        </w:tc>
        <w:tc>
          <w:tcPr>
            <w:tcW w:type="dxa" w:w="1417"/>
            <w:shd w:val="clear" w:color="auto" w:fill="FFFFFF"/>
          </w:tcPr>
          <w:p>
            <w:r>
              <w:rPr>
                <w:sz w:val="20"/>
              </w:rPr>
              <w:t>18.0%</w:t>
            </w:r>
          </w:p>
        </w:tc>
        <w:tc>
          <w:tcPr>
            <w:tcW w:type="dxa" w:w="1984"/>
            <w:shd w:val="clear" w:color="auto" w:fill="FFFFFF"/>
          </w:tcPr>
          <w:p>
            <w:r>
              <w:rPr>
                <w:sz w:val="20"/>
              </w:rPr>
              <w:t>88 (Sub-normal)</w:t>
            </w:r>
          </w:p>
        </w:tc>
      </w:tr>
      <w:tr>
        <w:tc>
          <w:tcPr>
            <w:tcW w:type="dxa" w:w="1417"/>
            <w:shd w:val="clear" w:color="auto" w:fill="EAF2FF"/>
          </w:tcPr>
          <w:p>
            <w:r>
              <w:rPr>
                <w:sz w:val="20"/>
              </w:rPr>
              <w:t>2025</w:t>
            </w:r>
          </w:p>
        </w:tc>
        <w:tc>
          <w:tcPr>
            <w:tcW w:type="dxa" w:w="1984"/>
            <w:shd w:val="clear" w:color="auto" w:fill="EAF2FF"/>
          </w:tcPr>
          <w:p>
            <w:r>
              <w:rPr>
                <w:sz w:val="20"/>
              </w:rPr>
              <w:t>9.62</w:t>
            </w:r>
          </w:p>
        </w:tc>
        <w:tc>
          <w:tcPr>
            <w:tcW w:type="dxa" w:w="1984"/>
            <w:shd w:val="clear" w:color="auto" w:fill="EAF2FF"/>
          </w:tcPr>
          <w:p>
            <w:r>
              <w:rPr>
                <w:sz w:val="20"/>
              </w:rPr>
              <w:t>3.37</w:t>
            </w:r>
          </w:p>
        </w:tc>
        <w:tc>
          <w:tcPr>
            <w:tcW w:type="dxa" w:w="1984"/>
            <w:shd w:val="clear" w:color="auto" w:fill="EAF2FF"/>
          </w:tcPr>
          <w:p>
            <w:r>
              <w:rPr>
                <w:sz w:val="20"/>
              </w:rPr>
              <w:t>47.8%</w:t>
            </w:r>
          </w:p>
        </w:tc>
        <w:tc>
          <w:tcPr>
            <w:tcW w:type="dxa" w:w="1417"/>
            <w:shd w:val="clear" w:color="auto" w:fill="EAF2FF"/>
          </w:tcPr>
          <w:p>
            <w:r>
              <w:rPr>
                <w:sz w:val="20"/>
              </w:rPr>
              <w:t>15.2%</w:t>
            </w:r>
          </w:p>
        </w:tc>
        <w:tc>
          <w:tcPr>
            <w:tcW w:type="dxa" w:w="1984"/>
            <w:shd w:val="clear" w:color="auto" w:fill="EAF2FF"/>
          </w:tcPr>
          <w:p>
            <w:r>
              <w:rPr>
                <w:sz w:val="20"/>
              </w:rPr>
              <w:t>71 (Secetos)</w:t>
            </w:r>
          </w:p>
        </w:tc>
      </w:tr>
    </w:tbl>
    <w:p/>
    <w:p>
      <w:pPr>
        <w:spacing w:before="400"/>
        <w:jc w:val="center"/>
      </w:pPr>
      <w:r>
        <w:rPr>
          <w:i/>
          <w:color w:val="757575"/>
          <w:sz w:val="18"/>
        </w:rPr>
        <w:t>Surse de date: Rapoarte anuale Hidroelectrica S.A. · BVB (H2O.RO) · ANRE · sistemulenergetic.ro · Open-Meteo Archive API · ANM</w:t>
        <w:br/>
        <w:t>Document generat automat · 09 May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