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11827"/>
          <w:sz w:val="40"/>
          <w:szCs w:val="40"/>
        </w:rPr>
        <w:t xml:space="preserve">PAXIS</w:t>
      </w:r>
      <w:r>
        <w:rPr>
          <w:color w:val="4b5563"/>
          <w:sz w:val="24"/>
          <w:szCs w:val="24"/>
        </w:rPr>
        <w:t xml:space="preserve">  —  Concept Note</w:t>
      </w:r>
    </w:p>
    <w:p>
      <w:pPr>
        <w:pBdr>
          <w:bottom w:val="single" w:color="e11d48" w:sz="8" w:space="6"/>
        </w:pBdr>
        <w:spacing w:after="200"/>
      </w:pPr>
      <w:r>
        <w:rPr>
          <w:i/>
          <w:iCs/>
          <w:color w:val="4b5563"/>
          <w:sz w:val="20"/>
          <w:szCs w:val="20"/>
        </w:rPr>
        <w:t xml:space="preserve">Clinical evidence for oncology, matched to the whole patient</w:t>
      </w:r>
    </w:p>
    <w:p>
      <w:pPr>
        <w:pBdr>
          <w:bottom w:val="single" w:color="e11d48" w:sz="4" w:space="4"/>
        </w:pBdr>
        <w:spacing w:after="90" w:before="260"/>
      </w:pPr>
      <w:r>
        <w:rPr>
          <w:b/>
          <w:bCs/>
          <w:caps/>
          <w:color w:val="e11d48"/>
          <w:spacing w:val="10"/>
          <w:sz w:val="21"/>
          <w:szCs w:val="21"/>
        </w:rPr>
        <w:t xml:space="preserve">The Problem</w:t>
      </w:r>
    </w:p>
    <w:p>
      <w:pPr>
        <w:spacing w:after="160" w:line="288"/>
      </w:pPr>
      <w:r>
        <w:rPr>
          <w:color w:val="111827"/>
          <w:sz w:val="21"/>
          <w:szCs w:val="21"/>
        </w:rPr>
        <w:t xml:space="preserve">Oncologists treating complex, heavily pretreated patients need to know what the current evidence supports for that exact clinical picture, and they need to know it again every time the patient's status changes. The evidence that matters is scattered across a paper's eligibility criteria, methods, and results rather than sitting in one clean summary, and a real patient has many overlapping factors (biomarkers, prior treatment, comorbidities) that a simple keyword search flattens into noise. The language on a chart ("no longer a surgical candidate") often does not match the language in the literature ("unresectable"), so relevant studies get missed even when they are directly on point. With hundreds of new oncology papers published every week, keeping up by hand alongside a full patient load is not realistic.</w:t>
      </w:r>
    </w:p>
    <w:p>
      <w:pPr>
        <w:pBdr>
          <w:bottom w:val="single" w:color="e11d48" w:sz="4" w:space="4"/>
        </w:pBdr>
        <w:spacing w:after="90" w:before="260"/>
      </w:pPr>
      <w:r>
        <w:rPr>
          <w:b/>
          <w:bCs/>
          <w:caps/>
          <w:color w:val="e11d48"/>
          <w:spacing w:val="10"/>
          <w:sz w:val="21"/>
          <w:szCs w:val="21"/>
        </w:rPr>
        <w:t xml:space="preserve">What Paxis Does</w:t>
      </w:r>
    </w:p>
    <w:p>
      <w:pPr>
        <w:spacing w:after="160" w:line="288"/>
      </w:pPr>
      <w:r>
        <w:rPr>
          <w:color w:val="111827"/>
          <w:sz w:val="21"/>
          <w:szCs w:val="21"/>
        </w:rPr>
        <w:t xml:space="preserve">Paxis reads oncology literature the way a physician would if they had unlimited time, understanding what each study is actually about rather than just matching keywords. A physician describes a patient in plain language or a structured profile, and Paxis returns the studies that genuinely match that case with the relevant evidence already extracted. Patient records persist, so diagnosis, biomarkers, and treatment response stay attached to a case and physicians can keep asking questions as things change. Paxis also monitors new literature in the background and surfaces matches automatically, rather than requiring a physician to remember to check again.</w:t>
      </w:r>
    </w:p>
    <w:p>
      <w:pPr>
        <w:pBdr>
          <w:bottom w:val="single" w:color="e11d48" w:sz="4" w:space="4"/>
        </w:pBdr>
        <w:spacing w:after="90" w:before="260"/>
      </w:pPr>
      <w:r>
        <w:rPr>
          <w:b/>
          <w:bCs/>
          <w:caps/>
          <w:color w:val="e11d48"/>
          <w:spacing w:val="10"/>
          <w:sz w:val="21"/>
          <w:szCs w:val="21"/>
        </w:rPr>
        <w:t xml:space="preserve">Current Status</w:t>
      </w:r>
    </w:p>
    <w:p>
      <w:pPr>
        <w:pStyle w:val="ListParagraph"/>
        <w:numPr>
          <w:ilvl w:val="0"/>
          <w:numId w:val="1"/>
        </w:numPr>
        <w:spacing w:after="90" w:line="276"/>
        <w:ind w:left="360"/>
      </w:pPr>
      <w:r>
        <w:rPr>
          <w:b/>
          <w:bCs/>
          <w:color w:val="111827"/>
          <w:sz w:val="20"/>
          <w:szCs w:val="20"/>
        </w:rPr>
        <w:t xml:space="preserve">Product: </w:t>
      </w:r>
      <w:r>
        <w:rPr>
          <w:color w:val="4b5563"/>
          <w:sz w:val="20"/>
          <w:szCs w:val="20"/>
        </w:rPr>
        <w:t xml:space="preserve">Live and functional today: patient intake, evidence matching, treatment comparison, trial search, and saved-study tracking are all built and working.</w:t>
      </w:r>
    </w:p>
    <w:p>
      <w:pPr>
        <w:pStyle w:val="ListParagraph"/>
        <w:numPr>
          <w:ilvl w:val="0"/>
          <w:numId w:val="1"/>
        </w:numPr>
        <w:spacing w:after="90" w:line="276"/>
        <w:ind w:left="360"/>
      </w:pPr>
      <w:r>
        <w:rPr>
          <w:b/>
          <w:bCs/>
          <w:color w:val="111827"/>
          <w:sz w:val="20"/>
          <w:szCs w:val="20"/>
        </w:rPr>
        <w:t xml:space="preserve">Literature base: </w:t>
      </w:r>
      <w:r>
        <w:rPr>
          <w:color w:val="4b5563"/>
          <w:sz w:val="20"/>
          <w:szCs w:val="20"/>
        </w:rPr>
        <w:t xml:space="preserve">A structured oncology literature library is already loaded and searchable.</w:t>
      </w:r>
    </w:p>
    <w:p>
      <w:pPr>
        <w:pStyle w:val="ListParagraph"/>
        <w:numPr>
          <w:ilvl w:val="0"/>
          <w:numId w:val="1"/>
        </w:numPr>
        <w:spacing w:after="90" w:line="276"/>
        <w:ind w:left="360"/>
      </w:pPr>
      <w:r>
        <w:rPr>
          <w:b/>
          <w:bCs/>
          <w:color w:val="111827"/>
          <w:sz w:val="20"/>
          <w:szCs w:val="20"/>
        </w:rPr>
        <w:t xml:space="preserve">Beta: </w:t>
      </w:r>
      <w:r>
        <w:rPr>
          <w:color w:val="4b5563"/>
          <w:sz w:val="20"/>
          <w:szCs w:val="20"/>
        </w:rPr>
        <w:t xml:space="preserve">Opening to a small group of physician beta users in the coming weeks.</w:t>
      </w:r>
    </w:p>
    <w:p>
      <w:pPr>
        <w:pStyle w:val="ListParagraph"/>
        <w:numPr>
          <w:ilvl w:val="0"/>
          <w:numId w:val="1"/>
        </w:numPr>
        <w:spacing w:after="90" w:line="276"/>
        <w:ind w:left="360"/>
      </w:pPr>
      <w:r>
        <w:rPr>
          <w:b/>
          <w:bCs/>
          <w:color w:val="111827"/>
          <w:sz w:val="20"/>
          <w:szCs w:val="20"/>
        </w:rPr>
        <w:t xml:space="preserve">Team: </w:t>
      </w:r>
      <w:r>
        <w:rPr>
          <w:color w:val="4b5563"/>
          <w:sz w:val="20"/>
          <w:szCs w:val="20"/>
        </w:rPr>
        <w:t xml:space="preserve">Founded and built by Aysha Allahverdi and Alexandra Halfon.</w:t>
      </w:r>
    </w:p>
    <w:p>
      <w:pPr>
        <w:pBdr>
          <w:bottom w:val="single" w:color="e11d48" w:sz="4" w:space="4"/>
        </w:pBdr>
        <w:spacing w:after="90" w:before="260"/>
      </w:pPr>
      <w:r>
        <w:rPr>
          <w:b/>
          <w:bCs/>
          <w:caps/>
          <w:color w:val="e11d48"/>
          <w:spacing w:val="10"/>
          <w:sz w:val="21"/>
          <w:szCs w:val="21"/>
        </w:rPr>
        <w:t xml:space="preserve">What We're Looking For</w:t>
      </w:r>
    </w:p>
    <w:p>
      <w:pPr>
        <w:spacing w:after="160" w:line="288"/>
      </w:pPr>
      <w:r>
        <w:rPr>
          <w:color w:val="111827"/>
          <w:sz w:val="21"/>
          <w:szCs w:val="21"/>
        </w:rPr>
        <w:t xml:space="preserve">This note is meant as background ahead of our call. Beyond the product itself, I would value your perspective on go-to-market strategy for a clinical tool entering the health startup space, and separately, some advice on visa-related questions relevant to building this full-time. Grateful for any time and input.</w:t>
      </w:r>
    </w:p>
    <w:p>
      <w:pPr>
        <w:pBdr>
          <w:top w:val="single" w:color="e5e7eb" w:sz="4" w:space="8"/>
        </w:pBdr>
        <w:spacing w:before="320"/>
      </w:pPr>
      <w:r>
        <w:rPr>
          <w:b/>
          <w:bCs/>
          <w:color w:val="111827"/>
          <w:sz w:val="19"/>
          <w:szCs w:val="19"/>
        </w:rPr>
        <w:t xml:space="preserve">Aysha Allahverdi</w:t>
      </w:r>
      <w:r>
        <w:rPr>
          <w:color w:val="4b5563"/>
          <w:sz w:val="19"/>
          <w:szCs w:val="19"/>
        </w:rPr>
        <w:t xml:space="preserve">   |   aysha.verdi@gmail.com   |   patientaxis.net</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2026-08-07T17:11:08.549Z</dcterms:created>
  <dcterms:modified xsi:type="dcterms:W3CDTF">2026-08-07T17:11:08.550Z</dcterms:modified>
</cp:coreProperties>
</file>

<file path=docProps/custom.xml><?xml version="1.0" encoding="utf-8"?>
<Properties xmlns="http://schemas.openxmlformats.org/officeDocument/2006/custom-properties" xmlns:vt="http://schemas.openxmlformats.org/officeDocument/2006/docPropsVTypes"/>
</file>