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500"/>
        <w:gridCol w:w="44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56"/>
                <w:szCs w:val="56"/>
              </w:rPr>
              <w:t xml:space="preserve">pa</w:t>
            </w:r>
            <w:r>
              <w:rPr>
                <w:rFonts w:ascii="Calibri" w:cs="Calibri" w:eastAsia="Calibri" w:hAnsi="Calibri"/>
                <w:b/>
                <w:bCs/>
                <w:color w:val="E11D48"/>
                <w:sz w:val="56"/>
                <w:szCs w:val="56"/>
              </w:rPr>
              <w:t xml:space="preserve">×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56"/>
                <w:szCs w:val="56"/>
              </w:rPr>
              <w:t xml:space="preserve">is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21"/>
                <w:szCs w:val="21"/>
              </w:rPr>
              <w:t xml:space="preserve">Clinical evidence for oncology — matched to the whole patient, and kept current for as long as you're treating them.</w:t>
            </w:r>
          </w:p>
        </w:tc>
      </w:tr>
    </w:tbl>
    <w:p>
      <w:pPr>
        <w:pBdr>
          <w:bottom w:val="single" w:color="E11D48" w:sz="20" w:space="4"/>
        </w:pBdr>
        <w:spacing w:after="200"/>
      </w:pPr>
      <w:r>
        <w:rPr>
          <w:sz w:val="2"/>
          <w:szCs w:val="2"/>
        </w:rPr>
        <w:t xml:space="preserve"/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aps/>
          <w:color w:val="BE123C"/>
          <w:sz w:val="21"/>
          <w:szCs w:val="21"/>
        </w:rPr>
        <w:t xml:space="preserve">THE PROBLEM</w:t>
      </w:r>
    </w:p>
    <w:p>
      <w:pPr>
        <w:spacing w:after="1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Oncologists treating complex, heavily pretreated patients need to match a specific clinical picture against the literature and open trials — fast, and again every time that patient's status changes. Three things get in the way: the relevant evidence is scattered across a paper's sections (eligibility, methods, results, subgroup analyses), not sitting in one paragraph; a real patient profile has eight or more clinical variables that get averaged into noise by a single search query; and the language on the chart ("no longer a surgical candidate") rarely matches the language in the literature ("unresectable"). Add hundreds of new oncology papers published every week, and no clinician can screen all of it manually — once, let alone continuously — on top of a full clinic load.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aps/>
          <w:color w:val="BE123C"/>
          <w:sz w:val="21"/>
          <w:szCs w:val="21"/>
        </w:rPr>
        <w:t xml:space="preserve">WHAT PAXIS DOES</w:t>
      </w:r>
    </w:p>
    <w:p>
      <w:pPr>
        <w:spacing w:after="1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Paxis ingests oncology literature into a structured, section-aware evidence base and lets a clinician submit a patient — as a structured record or in plain language — and get back matched, ranked studies with the specific evidence extracted, not just a list of links. The patient isn't a one-off query: their diagnosis, biomarkers, and treatment response stay on record, so a clinician can keep asking what's working and what isn't for that specific case over time — and Paxis keeps watching the literature in the background, surfacing a new matching study the moment it's published.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aps/>
          <w:color w:val="BE123C"/>
          <w:sz w:val="21"/>
          <w:szCs w:val="21"/>
        </w:rPr>
        <w:t xml:space="preserve">WHAT IT DOES THAT OTHERS CAN'T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20"/>
        <w:gridCol w:w="3320"/>
        <w:gridCol w:w="3320"/>
      </w:tblGrid>
      <w:tr>
        <w:tc>
          <w:tcPr>
            <w:tcW w:type="dxa" w:w="3320"/>
            <w:tcBorders>
              <w:top w:val="none" w:color="FFFFFF" w:sz="0"/>
              <w:left w:val="single" w:color="FB7185" w:sz="18" w:space="4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Remembers the patient, not just the question</w:t>
            </w:r>
          </w:p>
          <w:p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Diagnosis, biomarkers, and treatment response stay attached to the case. Ask what's working, what isn't, and why — Paxis answers in the context of that specific patient, not a generic query.</w:t>
            </w:r>
          </w:p>
        </w:tc>
        <w:tc>
          <w:tcPr>
            <w:tcW w:type="dxa" w:w="3320"/>
            <w:tcBorders>
              <w:top w:val="none" w:color="FFFFFF" w:sz="0"/>
              <w:left w:val="single" w:color="FB7185" w:sz="18" w:space="4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Never stops watching</w:t>
            </w:r>
          </w:p>
          <w:p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Turn on alerts for a saved case and Paxis keeps checking new literature in the background, notifying you the moment a matching study is published — no manual re-search, ever.</w:t>
            </w:r>
          </w:p>
        </w:tc>
        <w:tc>
          <w:tcPr>
            <w:tcW w:type="dxa" w:w="3320"/>
            <w:tcBorders>
              <w:top w:val="none" w:color="FFFFFF" w:sz="0"/>
              <w:left w:val="single" w:color="FB7185" w:sz="18" w:space="4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Reads clinical language like literature does</w:t>
            </w:r>
          </w:p>
          <w:p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An ontology-inference layer translates implicit chart language into the terms the literature actually uses, automatically — no manual translation, no missed matches.</w:t>
            </w:r>
          </w:p>
        </w:tc>
      </w:tr>
      <w:tr>
        <w:tc>
          <w:tcPr>
            <w:tcW w:type="dxa" w:w="3320"/>
            <w:tcBorders>
              <w:top w:val="none" w:color="FFFFFF" w:sz="0"/>
              <w:left w:val="single" w:color="FB7185" w:sz="18" w:space="4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Searches the whole patient, not one query</w:t>
            </w:r>
          </w:p>
          <w:p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The profile is decomposed into individual clinical axes and searched in parallel across a vector index, structured clinical records, and patient-outcome frames — then merged.</w:t>
            </w:r>
          </w:p>
        </w:tc>
        <w:tc>
          <w:tcPr>
            <w:tcW w:type="dxa" w:w="3320"/>
            <w:tcBorders>
              <w:top w:val="none" w:color="FFFFFF" w:sz="0"/>
              <w:left w:val="single" w:color="FB7185" w:sz="18" w:space="4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Filters before it shows you anything</w:t>
            </w:r>
          </w:p>
          <w:p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A dedicated relevance model re-ranks every candidate against the full patient profile, rejecting superficial keyword matches before they reach the clinician.</w:t>
            </w:r>
          </w:p>
        </w:tc>
        <w:tc>
          <w:tcPr>
            <w:tcW w:type="dxa" w:w="3320"/>
            <w:tcBorders>
              <w:top w:val="none" w:color="FFFFFF" w:sz="0"/>
              <w:left w:val="single" w:color="FB7185" w:sz="18" w:space="4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Covers the whole workflow, not just search</w:t>
            </w:r>
          </w:p>
          <w:p>
            <w:r>
              <w:rPr>
                <w:rFonts w:ascii="Calibri" w:cs="Calibri" w:eastAsia="Calibri" w:hAnsi="Calibri"/>
                <w:color w:val="4B5563"/>
                <w:sz w:val="17"/>
                <w:szCs w:val="17"/>
              </w:rPr>
              <w:t xml:space="preserve">Intake, ongoing conversation, matching, treatment comparison, trial finder, and analytics — one product built around the patient, not a search box.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aps/>
          <w:color w:val="BE123C"/>
          <w:sz w:val="21"/>
          <w:szCs w:val="21"/>
        </w:rPr>
        <w:t xml:space="preserve">BUILT AND RUNNING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Live, deployed product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— not a prototype — running on dedicated cloud infrastructure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Real oncology literature corpus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already ingested and structured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Persistent per-patient records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with treatment-response tracking, feeding both conversation and matching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Standing case alerts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running in production — continuous monitoring, not one-time search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Multi-source retrieval pipeline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 — vector search, structured clinical matching, and patient-outcome frames — operating together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Full clinical workflow shipped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: intake, matching, treatment comparison, trial finder, and analytics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500"/>
        <w:gridCol w:w="44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</w:tcMar>
          </w:tcPr>
          <w:p>
            <w:pPr>
              <w:pBdr>
                <w:top w:val="single" w:color="E5E7EB" w:sz="6" w:space="8"/>
              </w:pBdr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Aysha Verdi</w:t>
            </w: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 — aysha.verdi@gmail.com</w:t>
            </w:r>
          </w:p>
        </w:tc>
        <w:tc>
          <w:tcPr>
            <w:tcW w:type="dxa" w:w="4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</w:tcMar>
          </w:tcPr>
          <w:p>
            <w:pPr>
              <w:pBdr>
                <w:top w:val="single" w:color="E5E7EB" w:sz="6" w:space="8"/>
              </w:pBd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E11D48"/>
                <w:sz w:val="18"/>
                <w:szCs w:val="18"/>
              </w:rPr>
              <w:t xml:space="preserve">patientaxis.net</w:t>
            </w:r>
          </w:p>
        </w:tc>
      </w:tr>
    </w:tbl>
    <w:sectPr>
      <w:pgSz w:w="12240" w:h="15840" w:orient="portrait"/>
      <w:pgMar w:top="800" w:right="940" w:bottom="72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2026-07-31T19:18:25.939Z</dcterms:created>
  <dcterms:modified xsi:type="dcterms:W3CDTF">2026-07-31T19:18:25.939Z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