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document.xml" ContentType="application/vnd.openxmlformats-officedocument.wordprocessingml.document.main+xml"/>
  <Override PartName="/word/media/image2.png" ContentType="image/png"/>
  <Override PartName="/word/media/image1.png" ContentType="image/png"/>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tyle20"/>
        <w:spacing w:before="240" w:after="120"/>
        <w:rPr>
          <w:rFonts w:ascii="Roboto" w:hAnsi="Roboto"/>
          <w:sz w:val="48"/>
          <w:szCs w:val="48"/>
        </w:rPr>
      </w:pPr>
      <w:r>
        <w:rPr>
          <w:rFonts w:ascii="Roboto" w:hAnsi="Roboto"/>
          <w:sz w:val="48"/>
          <w:szCs w:val="48"/>
        </w:rPr>
      </w:r>
    </w:p>
    <w:p>
      <w:pPr>
        <w:pStyle w:val="Style20"/>
        <w:rPr>
          <w:rFonts w:ascii="Roboto" w:hAnsi="Roboto"/>
          <w:sz w:val="48"/>
          <w:szCs w:val="48"/>
        </w:rPr>
      </w:pPr>
      <w:r>
        <w:rPr>
          <w:rFonts w:ascii="Roboto" w:hAnsi="Roboto"/>
          <w:sz w:val="48"/>
          <w:szCs w:val="48"/>
        </w:rPr>
      </w:r>
    </w:p>
    <w:p>
      <w:pPr>
        <w:pStyle w:val="Style20"/>
        <w:rPr>
          <w:rFonts w:ascii="Roboto" w:hAnsi="Roboto"/>
          <w:sz w:val="48"/>
          <w:szCs w:val="48"/>
        </w:rPr>
      </w:pPr>
      <w:r>
        <w:rPr>
          <w:rFonts w:ascii="Roboto" w:hAnsi="Roboto"/>
          <w:sz w:val="48"/>
          <w:szCs w:val="48"/>
        </w:rPr>
      </w:r>
    </w:p>
    <w:p>
      <w:pPr>
        <w:pStyle w:val="Style20"/>
        <w:rPr>
          <w:rFonts w:ascii="Roboto" w:hAnsi="Roboto"/>
          <w:sz w:val="48"/>
          <w:szCs w:val="48"/>
        </w:rPr>
      </w:pPr>
      <w:r>
        <w:rPr>
          <w:rFonts w:ascii="Roboto" w:hAnsi="Roboto"/>
          <w:sz w:val="48"/>
          <w:szCs w:val="48"/>
        </w:rPr>
      </w:r>
    </w:p>
    <w:p>
      <w:pPr>
        <w:pStyle w:val="Style20"/>
        <w:rPr>
          <w:rFonts w:ascii="Roboto" w:hAnsi="Roboto"/>
          <w:sz w:val="48"/>
          <w:szCs w:val="48"/>
        </w:rPr>
      </w:pPr>
      <w:r>
        <w:rPr>
          <w:rFonts w:ascii="Roboto" w:hAnsi="Roboto"/>
          <w:sz w:val="48"/>
          <w:szCs w:val="48"/>
        </w:rPr>
      </w:r>
    </w:p>
    <w:p>
      <w:pPr>
        <w:pStyle w:val="Style20"/>
        <w:rPr>
          <w:rFonts w:ascii="Liberation Serif" w:hAnsi="Liberation Serif"/>
          <w:sz w:val="48"/>
          <w:szCs w:val="48"/>
        </w:rPr>
      </w:pPr>
      <w:r>
        <w:rPr>
          <w:rFonts w:ascii="Liberation Serif" w:hAnsi="Liberation Serif"/>
          <w:sz w:val="48"/>
          <w:szCs w:val="48"/>
        </w:rPr>
        <w:t xml:space="preserve">MQ BTG </w:t>
      </w:r>
      <w:r>
        <w:rPr>
          <w:rFonts w:ascii="Liberation Serif" w:hAnsi="Liberation Serif"/>
          <w:sz w:val="48"/>
          <w:szCs w:val="48"/>
          <w:lang w:val="en-US"/>
        </w:rPr>
        <w:t>configurator</w:t>
      </w:r>
    </w:p>
    <w:p>
      <w:pPr>
        <w:pStyle w:val="Normal"/>
        <w:spacing w:lineRule="auto" w:line="240" w:before="0" w:after="0"/>
        <w:ind w:left="0" w:right="0" w:hanging="0"/>
        <w:jc w:val="center"/>
        <w:rPr/>
      </w:pPr>
      <w:r>
        <w:rPr>
          <w:rFonts w:ascii="Roboto" w:hAnsi="Roboto"/>
          <w:b w:val="false"/>
          <w:bCs w:val="false"/>
          <w:sz w:val="28"/>
          <w:szCs w:val="28"/>
        </w:rPr>
        <w:t>Software Requirements Specification</w:t>
      </w:r>
    </w:p>
    <w:p>
      <w:pPr>
        <w:pStyle w:val="Normal"/>
        <w:spacing w:lineRule="auto" w:line="240" w:before="280" w:after="280"/>
        <w:ind w:left="0" w:right="0" w:hanging="0"/>
        <w:jc w:val="right"/>
        <w:rPr>
          <w:rFonts w:ascii="Roboto" w:hAnsi="Roboto"/>
          <w:sz w:val="28"/>
          <w:szCs w:val="28"/>
        </w:rPr>
      </w:pPr>
      <w:r>
        <w:rPr>
          <w:rFonts w:ascii="Roboto" w:hAnsi="Roboto"/>
          <w:b w:val="false"/>
          <w:bCs w:val="false"/>
          <w:sz w:val="28"/>
          <w:szCs w:val="28"/>
          <w:lang w:val="en-US"/>
        </w:rPr>
        <w:t>Version 1.0</w:t>
      </w:r>
    </w:p>
    <w:p>
      <w:pPr>
        <w:pStyle w:val="111"/>
        <w:widowControl/>
        <w:numPr>
          <w:ilvl w:val="0"/>
          <w:numId w:val="0"/>
        </w:numPr>
        <w:ind w:hanging="0"/>
        <w:jc w:val="left"/>
        <w:rPr/>
      </w:pPr>
      <w:r>
        <w:rPr/>
      </w:r>
      <w:r>
        <w:br w:type="page"/>
      </w:r>
    </w:p>
    <w:p>
      <w:pPr>
        <w:pStyle w:val="111"/>
        <w:numPr>
          <w:ilvl w:val="0"/>
          <w:numId w:val="2"/>
        </w:numPr>
        <w:ind w:hanging="0"/>
        <w:rPr/>
      </w:pPr>
      <w:r>
        <w:rPr/>
        <w:t>Table of contents</w:t>
      </w:r>
    </w:p>
    <w:p>
      <w:pPr>
        <w:pStyle w:val="Style16"/>
        <w:tabs>
          <w:tab w:val="right" w:pos="9638" w:leader="dot"/>
        </w:tabs>
        <w:rPr/>
      </w:pPr>
      <w:r>
        <w:fldChar w:fldCharType="begin"/>
      </w:r>
      <w:r>
        <w:rPr>
          <w:rStyle w:val="Style14"/>
        </w:rPr>
        <w:instrText> TOC \f \o "1-9" \h</w:instrText>
      </w:r>
      <w:r>
        <w:rPr>
          <w:rStyle w:val="Style14"/>
        </w:rPr>
        <w:fldChar w:fldCharType="separate"/>
      </w:r>
      <w:hyperlink w:anchor="__RefHeading___Toc7595_2943866147">
        <w:r>
          <w:rPr>
            <w:rStyle w:val="Style14"/>
          </w:rPr>
          <w:t>Glossary</w:t>
          <w:tab/>
          <w:t>3</w:t>
        </w:r>
      </w:hyperlink>
    </w:p>
    <w:p>
      <w:pPr>
        <w:pStyle w:val="Style16"/>
        <w:tabs>
          <w:tab w:val="right" w:pos="9638" w:leader="dot"/>
        </w:tabs>
        <w:rPr/>
      </w:pPr>
      <w:hyperlink w:anchor="__RefHeading___Toc7597_2943866147">
        <w:r>
          <w:rPr>
            <w:rStyle w:val="Style14"/>
          </w:rPr>
          <w:t>Overview</w:t>
          <w:tab/>
          <w:t>4</w:t>
        </w:r>
      </w:hyperlink>
    </w:p>
    <w:p>
      <w:pPr>
        <w:pStyle w:val="Style16"/>
        <w:tabs>
          <w:tab w:val="right" w:pos="9638" w:leader="dot"/>
        </w:tabs>
        <w:rPr/>
      </w:pPr>
      <w:hyperlink w:anchor="__RefHeading___Toc1476_2340702200">
        <w:r>
          <w:rPr>
            <w:rStyle w:val="Style14"/>
          </w:rPr>
          <w:t>Functionallity</w:t>
          <w:tab/>
          <w:t>5</w:t>
        </w:r>
      </w:hyperlink>
    </w:p>
    <w:p>
      <w:pPr>
        <w:pStyle w:val="Style16"/>
        <w:tabs>
          <w:tab w:val="right" w:pos="9638" w:leader="dot"/>
        </w:tabs>
        <w:rPr/>
      </w:pPr>
      <w:hyperlink w:anchor="__RefHeading___Toc1478_2340702200">
        <w:r>
          <w:rPr>
            <w:rStyle w:val="Style14"/>
          </w:rPr>
          <w:t>2.1 Main Functionallity</w:t>
          <w:tab/>
          <w:t>5</w:t>
        </w:r>
      </w:hyperlink>
    </w:p>
    <w:p>
      <w:pPr>
        <w:pStyle w:val="Style16"/>
        <w:tabs>
          <w:tab w:val="right" w:pos="9638" w:leader="dot"/>
        </w:tabs>
        <w:rPr/>
      </w:pPr>
      <w:hyperlink w:anchor="__RefHeading___Toc7599_2943866147">
        <w:r>
          <w:rPr>
            <w:rStyle w:val="Style14"/>
          </w:rPr>
          <w:t>2.2 CM Functionallity</w:t>
          <w:tab/>
          <w:t>6</w:t>
        </w:r>
      </w:hyperlink>
    </w:p>
    <w:p>
      <w:pPr>
        <w:pStyle w:val="Style16"/>
        <w:tabs>
          <w:tab w:val="right" w:pos="9638" w:leader="dot"/>
        </w:tabs>
        <w:rPr/>
      </w:pPr>
      <w:hyperlink w:anchor="__RefHeading___Toc7601_2943866147">
        <w:r>
          <w:rPr>
            <w:rStyle w:val="Style14"/>
          </w:rPr>
          <w:t>2.2.1 MQ BTG Configurator</w:t>
          <w:tab/>
          <w:t>6</w:t>
        </w:r>
      </w:hyperlink>
    </w:p>
    <w:p>
      <w:pPr>
        <w:pStyle w:val="Style16"/>
        <w:tabs>
          <w:tab w:val="right" w:pos="9638" w:leader="dot"/>
        </w:tabs>
        <w:rPr/>
      </w:pPr>
      <w:hyperlink w:anchor="__RefHeading___Toc7603_2943866147">
        <w:r>
          <w:rPr>
            <w:rStyle w:val="Style14"/>
          </w:rPr>
          <w:t>2.2.2 MQ BTG Editor</w:t>
          <w:tab/>
          <w:t>8</w:t>
        </w:r>
      </w:hyperlink>
    </w:p>
    <w:p>
      <w:pPr>
        <w:pStyle w:val="1"/>
        <w:numPr>
          <w:ilvl w:val="0"/>
          <w:numId w:val="2"/>
        </w:numPr>
        <w:rPr/>
      </w:pPr>
      <w:bookmarkStart w:id="0" w:name="__RefHeading___Toc7595_2943866147"/>
      <w:bookmarkEnd w:id="0"/>
      <w:r>
        <w:rPr/>
        <w:t>Glossary</w:t>
      </w:r>
      <w:r>
        <w:rPr/>
        <w:fldChar w:fldCharType="end"/>
      </w:r>
    </w:p>
    <w:p>
      <w:pPr>
        <w:pStyle w:val="Style16"/>
        <w:rPr/>
      </w:pPr>
      <w:r>
        <w:rPr>
          <w:b/>
          <w:bCs/>
        </w:rPr>
        <w:t>1 phase</w:t>
      </w:r>
      <w:r>
        <w:rPr/>
        <w:t xml:space="preserve"> </w:t>
      </w:r>
      <w:r>
        <w:rPr>
          <w:b w:val="false"/>
          <w:bCs w:val="false"/>
        </w:rPr>
        <w:t>— the first implementation of this tool, which excludes automatic changes on the site when changes are made in the CM.</w:t>
      </w:r>
    </w:p>
    <w:p>
      <w:pPr>
        <w:pStyle w:val="Style16"/>
        <w:rPr/>
      </w:pPr>
      <w:r>
        <w:rPr>
          <w:b/>
          <w:bCs/>
          <w:lang w:val="en-US"/>
        </w:rPr>
        <w:t>Buy-In</w:t>
      </w:r>
      <w:r>
        <w:rPr>
          <w:lang w:val="en-US"/>
        </w:rPr>
        <w:t xml:space="preserve"> </w:t>
      </w:r>
      <w:r>
        <w:rPr>
          <w:b w:val="false"/>
          <w:bCs w:val="false"/>
          <w:lang w:val="en-US"/>
        </w:rPr>
        <w:t>—</w:t>
      </w:r>
      <w:r>
        <w:rPr>
          <w:lang w:val="en-US"/>
        </w:rPr>
        <w:t xml:space="preserve"> collecting a fixed amount from the player in MQ BTG before the game starts. There are only players with the same buy-in in the same room. The winner receives the sum of buy-ins exclusion the casino commission(rake).</w:t>
      </w:r>
    </w:p>
    <w:p>
      <w:pPr>
        <w:pStyle w:val="Style16"/>
        <w:rPr/>
      </w:pPr>
      <w:r>
        <w:rPr>
          <w:b/>
          <w:bCs/>
          <w:lang w:val="en-US"/>
        </w:rPr>
        <w:t>CM</w:t>
      </w:r>
      <w:r>
        <w:rPr>
          <w:lang w:val="en-US"/>
        </w:rPr>
        <w:t xml:space="preserve"> — Betsoft backoffice designed to generate statistical reports, as well as configure various functionalities.</w:t>
      </w:r>
    </w:p>
    <w:p>
      <w:pPr>
        <w:pStyle w:val="Style16"/>
        <w:rPr/>
      </w:pPr>
      <w:r>
        <w:rPr>
          <w:b/>
          <w:bCs/>
        </w:rPr>
        <w:t>MQ BTG</w:t>
      </w:r>
      <w:r>
        <w:rPr/>
        <w:t xml:space="preserve"> — </w:t>
      </w:r>
      <w:r>
        <w:rPr>
          <w:lang w:val="en-US"/>
        </w:rPr>
        <w:t>MQS game mode in which players compete against each other. Each player pays a buy-in when entering the room. The winner at the end of the round takes the sum of buy-ins, with the exclusion of the casino commission.</w:t>
      </w:r>
    </w:p>
    <w:p>
      <w:pPr>
        <w:pStyle w:val="Style16"/>
        <w:rPr/>
      </w:pPr>
      <w:bookmarkStart w:id="1" w:name="__RefHeading___Toc936_13173370081"/>
      <w:bookmarkEnd w:id="1"/>
      <w:r>
        <w:rPr>
          <w:b/>
          <w:bCs/>
          <w:lang w:val="en-US"/>
        </w:rPr>
        <w:t>MQB</w:t>
      </w:r>
      <w:r>
        <w:rPr>
          <w:lang w:val="en-US"/>
        </w:rPr>
        <w:t xml:space="preserve"> — an online casino site that allows players to play MQS games (including MQ BTG). All players can play on any of 2 currencies (MQC and MMC).</w:t>
      </w:r>
    </w:p>
    <w:p>
      <w:pPr>
        <w:pStyle w:val="Style16"/>
        <w:rPr/>
      </w:pPr>
      <w:r>
        <w:rPr>
          <w:b/>
          <w:bCs/>
          <w:lang w:val="en-US"/>
        </w:rPr>
        <w:t>MQS</w:t>
      </w:r>
      <w:r>
        <w:rPr>
          <w:lang w:val="en-US"/>
        </w:rPr>
        <w:t xml:space="preserve"> — a series of multiplayer action casino games. The main purpose of the game is to shoot mobs.</w:t>
      </w:r>
    </w:p>
    <w:p>
      <w:pPr>
        <w:pStyle w:val="Style16"/>
        <w:rPr/>
      </w:pPr>
      <w:r>
        <w:rPr>
          <w:b/>
          <w:bCs/>
          <w:lang w:val="en-US"/>
        </w:rPr>
        <w:t>Prize Pool Values</w:t>
      </w:r>
      <w:r>
        <w:rPr>
          <w:lang w:val="en-US"/>
        </w:rPr>
        <w:t xml:space="preserve"> — the maximum prize pool for a room, calculated through its buy-in</w:t>
      </w:r>
      <w:r>
        <w:rPr>
          <w:lang w:val="en-US"/>
        </w:rPr>
        <w:t>s</w:t>
      </w:r>
      <w:r>
        <w:rPr>
          <w:lang w:val="en-US"/>
        </w:rPr>
        <w:t>. It is calculated as the room buy-in multiplied by the maximum number of people for that room.</w:t>
      </w:r>
    </w:p>
    <w:p>
      <w:pPr>
        <w:pStyle w:val="Style16"/>
        <w:rPr/>
      </w:pPr>
      <w:r>
        <w:rPr>
          <w:b/>
          <w:bCs/>
          <w:lang w:val="en-US"/>
        </w:rPr>
        <w:t>Rake</w:t>
      </w:r>
      <w:r>
        <w:rPr>
          <w:lang w:val="en-US"/>
        </w:rPr>
        <w:t xml:space="preserve"> — casino commission deducted from each player's buy-in.</w:t>
      </w:r>
    </w:p>
    <w:p>
      <w:pPr>
        <w:pStyle w:val="Style16"/>
        <w:rPr/>
      </w:pPr>
      <w:r>
        <w:rPr>
          <w:b/>
          <w:bCs/>
          <w:lang w:val="en-US"/>
        </w:rPr>
        <w:t>Room</w:t>
      </w:r>
      <w:r>
        <w:rPr>
          <w:lang w:val="en-US"/>
        </w:rPr>
        <w:t xml:space="preserve"> — a game room in MQ BTG games that brings together players who will compete with each other.</w:t>
      </w:r>
    </w:p>
    <w:p>
      <w:pPr>
        <w:pStyle w:val="Style16"/>
        <w:rPr>
          <w:rFonts w:ascii="Roboto" w:hAnsi="Roboto"/>
          <w:sz w:val="28"/>
          <w:szCs w:val="28"/>
          <w:lang w:val="en-US"/>
        </w:rPr>
      </w:pPr>
      <w:r>
        <w:rPr>
          <w:b/>
          <w:bCs/>
        </w:rPr>
        <w:t xml:space="preserve">Web-team </w:t>
      </w:r>
      <w:r>
        <w:rPr>
          <w:lang w:val="en-US"/>
        </w:rPr>
        <w:t>— development team responsible for creating and editing the MQB project website.</w:t>
      </w:r>
      <w:r>
        <w:br w:type="page"/>
      </w:r>
    </w:p>
    <w:p>
      <w:pPr>
        <w:pStyle w:val="1"/>
        <w:numPr>
          <w:ilvl w:val="0"/>
          <w:numId w:val="2"/>
        </w:numPr>
        <w:rPr/>
      </w:pPr>
      <w:bookmarkStart w:id="2" w:name="__RefHeading___Toc7597_2943866147"/>
      <w:bookmarkEnd w:id="2"/>
      <w:r>
        <w:rPr/>
        <w:t>Overview</w:t>
      </w:r>
    </w:p>
    <w:p>
      <w:pPr>
        <w:pStyle w:val="Style16"/>
        <w:rPr/>
      </w:pPr>
      <w:r>
        <w:rPr>
          <w:lang w:val="en-US"/>
        </w:rPr>
        <w:t xml:space="preserve">The main functionality of this tool is to control the BTG mode for MQS games using CM. </w:t>
      </w:r>
    </w:p>
    <w:p>
      <w:pPr>
        <w:pStyle w:val="Style16"/>
        <w:rPr/>
      </w:pPr>
      <w:r>
        <w:rPr>
          <w:lang w:val="en-US"/>
        </w:rPr>
        <w:t xml:space="preserve">The user should be able to get a list of MQS games with available BTG mode for one of the MQB banks (MQC or MMC). For each game, the user should be able to change the </w:t>
      </w:r>
      <w:r>
        <w:rPr>
          <w:lang w:val="en-US"/>
        </w:rPr>
        <w:t>different settings</w:t>
      </w:r>
      <w:r>
        <w:rPr>
          <w:lang w:val="en-US"/>
        </w:rPr>
        <w:t xml:space="preserve"> described in the "</w:t>
      </w:r>
      <w:r>
        <w:rPr>
          <w:lang w:val="en-US"/>
        </w:rPr>
        <w:t>F</w:t>
      </w:r>
      <w:r>
        <w:rPr>
          <w:lang w:val="en-US"/>
        </w:rPr>
        <w:t>unctionallity" section.</w:t>
      </w:r>
    </w:p>
    <w:p>
      <w:pPr>
        <w:pStyle w:val="Style16"/>
        <w:rPr>
          <w:lang w:val="en-US"/>
        </w:rPr>
      </w:pPr>
      <w:r>
        <w:rPr>
          <w:lang w:val="en-US"/>
        </w:rPr>
        <w:t xml:space="preserve">After the first phase of the implementation of this tool, any changes made from the CM must be agreed with the Web team in order to change the content on the MQB site. </w:t>
      </w:r>
    </w:p>
    <w:p>
      <w:pPr>
        <w:pStyle w:val="Style16"/>
        <w:rPr>
          <w:lang w:val="en-US"/>
        </w:rPr>
      </w:pPr>
      <w:r>
        <w:rPr>
          <w:lang w:val="en-US"/>
        </w:rPr>
        <w:t>In the future, changes occurring using this tool should automatically change the content of the MQB site. For example, turning off the BTG mode for game should remove the display of this mode on the site.</w:t>
      </w:r>
      <w:r>
        <w:br w:type="page"/>
      </w:r>
    </w:p>
    <w:p>
      <w:pPr>
        <w:pStyle w:val="1"/>
        <w:widowControl/>
        <w:numPr>
          <w:ilvl w:val="0"/>
          <w:numId w:val="0"/>
        </w:numPr>
        <w:jc w:val="left"/>
        <w:outlineLvl w:val="0"/>
        <w:rPr/>
      </w:pPr>
      <w:bookmarkStart w:id="3" w:name="__RefHeading___Toc1476_2340702200"/>
      <w:bookmarkEnd w:id="3"/>
      <w:r>
        <w:rPr/>
        <w:t>F</w:t>
      </w:r>
      <w:r>
        <w:rPr/>
        <w:t>unctionallity</w:t>
      </w:r>
    </w:p>
    <w:p>
      <w:pPr>
        <w:pStyle w:val="2"/>
        <w:numPr>
          <w:ilvl w:val="1"/>
          <w:numId w:val="1"/>
        </w:numPr>
        <w:rPr/>
      </w:pPr>
      <w:bookmarkStart w:id="4" w:name="__RefHeading___Toc1478_2340702200"/>
      <w:bookmarkEnd w:id="4"/>
      <w:r>
        <w:rPr/>
        <w:t>2.1 Main Functionallity</w:t>
      </w:r>
    </w:p>
    <w:p>
      <w:pPr>
        <w:pStyle w:val="Style16"/>
        <w:rPr/>
      </w:pPr>
      <w:r>
        <w:rPr/>
        <w:t>The user should be able to change the following settings for each game:</w:t>
      </w:r>
    </w:p>
    <w:p>
      <w:pPr>
        <w:pStyle w:val="Style16"/>
        <w:numPr>
          <w:ilvl w:val="0"/>
          <w:numId w:val="3"/>
        </w:numPr>
        <w:rPr/>
      </w:pPr>
      <w:r>
        <w:rPr/>
        <w:t xml:space="preserve">Enable/disable BTG mode. </w:t>
      </w:r>
    </w:p>
    <w:p>
      <w:pPr>
        <w:pStyle w:val="Style16"/>
        <w:numPr>
          <w:ilvl w:val="0"/>
          <w:numId w:val="3"/>
        </w:numPr>
        <w:rPr/>
      </w:pPr>
      <w:r>
        <w:rPr/>
        <w:t>Select multiple Buy-ins from the list of available ones (minimum 6).</w:t>
      </w:r>
    </w:p>
    <w:p>
      <w:pPr>
        <w:pStyle w:val="Style16"/>
        <w:numPr>
          <w:ilvl w:val="0"/>
          <w:numId w:val="3"/>
        </w:numPr>
        <w:rPr/>
      </w:pPr>
      <w:r>
        <w:rPr/>
        <w:t>Change rake ranging from 0 to 10 percent.</w:t>
      </w:r>
    </w:p>
    <w:p>
      <w:pPr>
        <w:pStyle w:val="Style16"/>
        <w:rPr/>
      </w:pPr>
      <w:bookmarkStart w:id="5" w:name="__RefHeading___Toc1480_2340702200"/>
      <w:bookmarkEnd w:id="5"/>
      <w:r>
        <w:rPr/>
        <w:t xml:space="preserve">Using this tool, the user should be able to view the current values of the settings listed above </w:t>
      </w:r>
      <w:r>
        <w:rPr/>
        <w:t>for each game</w:t>
      </w:r>
      <w:r>
        <w:rPr/>
        <w:t>, as well as:</w:t>
      </w:r>
    </w:p>
    <w:p>
      <w:pPr>
        <w:pStyle w:val="Style16"/>
        <w:numPr>
          <w:ilvl w:val="0"/>
          <w:numId w:val="4"/>
        </w:numPr>
        <w:rPr/>
      </w:pPr>
      <w:r>
        <w:rPr/>
        <w:t>Max Number of Players.</w:t>
      </w:r>
    </w:p>
    <w:p>
      <w:pPr>
        <w:pStyle w:val="Style16"/>
        <w:numPr>
          <w:ilvl w:val="0"/>
          <w:numId w:val="4"/>
        </w:numPr>
        <w:rPr/>
      </w:pPr>
      <w:r>
        <w:rPr/>
        <w:t>Prize Pool Values.</w:t>
      </w:r>
    </w:p>
    <w:p>
      <w:pPr>
        <w:pStyle w:val="Style16"/>
        <w:rPr/>
      </w:pPr>
      <w:r>
        <w:rPr/>
      </w:r>
      <w:r>
        <w:br w:type="page"/>
      </w:r>
    </w:p>
    <w:p>
      <w:pPr>
        <w:pStyle w:val="2"/>
        <w:numPr>
          <w:ilvl w:val="1"/>
          <w:numId w:val="1"/>
        </w:numPr>
        <w:rPr/>
      </w:pPr>
      <w:bookmarkStart w:id="6" w:name="__RefHeading___Toc7599_2943866147"/>
      <w:bookmarkEnd w:id="6"/>
      <w:r>
        <w:rPr/>
        <w:t xml:space="preserve">2.2 </w:t>
      </w:r>
      <w:r>
        <w:rPr/>
        <w:t>CM Functionallity</w:t>
      </w:r>
    </w:p>
    <w:p>
      <w:pPr>
        <w:pStyle w:val="Style16"/>
        <w:rPr/>
      </w:pPr>
      <w:r>
        <w:rPr/>
        <w:t xml:space="preserve">The tool </w:t>
      </w:r>
      <w:r>
        <w:rPr/>
        <w:t>must</w:t>
      </w:r>
      <w:r>
        <w:rPr/>
        <w:t xml:space="preserve"> be a set of reports located in "Management" - "MQ" - "MQ BTG Configurator".</w:t>
      </w:r>
    </w:p>
    <w:p>
      <w:pPr>
        <w:pStyle w:val="Style16"/>
        <w:rPr>
          <w:lang w:val="en-US"/>
        </w:rPr>
      </w:pPr>
      <w:r>
        <w:rPr>
          <w:lang w:val="en-US"/>
        </w:rPr>
        <w:t>This report must be visible to users with the following roles:</w:t>
      </w:r>
    </w:p>
    <w:p>
      <w:pPr>
        <w:pStyle w:val="Style16"/>
        <w:numPr>
          <w:ilvl w:val="0"/>
          <w:numId w:val="5"/>
        </w:numPr>
        <w:rPr/>
      </w:pPr>
      <w:r>
        <w:rPr/>
        <w:t>Operator (MQB Management only).</w:t>
      </w:r>
    </w:p>
    <w:p>
      <w:pPr>
        <w:pStyle w:val="Style16"/>
        <w:numPr>
          <w:ilvl w:val="0"/>
          <w:numId w:val="5"/>
        </w:numPr>
        <w:rPr/>
      </w:pPr>
      <w:r>
        <w:rPr/>
        <w:t>Authentication Manager.</w:t>
      </w:r>
    </w:p>
    <w:p>
      <w:pPr>
        <w:pStyle w:val="Style16"/>
        <w:numPr>
          <w:ilvl w:val="0"/>
          <w:numId w:val="5"/>
        </w:numPr>
        <w:rPr/>
      </w:pPr>
      <w:r>
        <w:rPr/>
        <w:t>Support.</w:t>
      </w:r>
    </w:p>
    <w:p>
      <w:pPr>
        <w:pStyle w:val="2"/>
        <w:numPr>
          <w:ilvl w:val="1"/>
          <w:numId w:val="2"/>
        </w:numPr>
        <w:rPr/>
      </w:pPr>
      <w:bookmarkStart w:id="7" w:name="__RefHeading___Toc7601_2943866147"/>
      <w:bookmarkEnd w:id="7"/>
      <w:r>
        <w:rPr/>
        <w:t>2.</w:t>
      </w:r>
      <w:r>
        <w:rPr/>
        <w:t>2.1</w:t>
      </w:r>
      <w:r>
        <w:rPr/>
        <w:t xml:space="preserve"> </w:t>
      </w:r>
      <w:r>
        <w:rPr>
          <w:lang w:val="en-US"/>
        </w:rPr>
        <w:t>MQ BTG Configurator</w:t>
      </w:r>
    </w:p>
    <w:p>
      <w:pPr>
        <w:pStyle w:val="Style16"/>
        <w:rPr>
          <w:lang w:val="en-US"/>
        </w:rPr>
      </w:pPr>
      <w:r>
        <w:rPr>
          <w:lang w:val="en-US"/>
        </w:rPr>
        <w:t xml:space="preserve">The user must select one of the MQB banks using the standard bank selection form. After selecting a bank and pressing the "Search" button, the user should see a table with the attributes presented in table 1. Interface of this report is shown in picture 1. </w:t>
      </w:r>
    </w:p>
    <w:p>
      <w:pPr>
        <w:pStyle w:val="Style16"/>
        <w:jc w:val="right"/>
        <w:rPr>
          <w:lang w:val="en-US"/>
        </w:rPr>
      </w:pPr>
      <w:r>
        <w:rPr>
          <w:lang w:val="en-US"/>
        </w:rPr>
        <w:t>Table 1 – attributes of table.</w:t>
      </w:r>
    </w:p>
    <w:tbl>
      <w:tblPr>
        <w:tblW w:w="9638" w:type="dxa"/>
        <w:jc w:val="left"/>
        <w:tblInd w:w="0" w:type="dxa"/>
        <w:tblBorders>
          <w:top w:val="single" w:sz="2" w:space="0" w:color="000000"/>
          <w:left w:val="single" w:sz="2" w:space="0" w:color="000000"/>
          <w:bottom w:val="single" w:sz="2" w:space="0" w:color="000000"/>
          <w:insideH w:val="single" w:sz="2" w:space="0" w:color="000000"/>
        </w:tblBorders>
        <w:tblCellMar>
          <w:top w:w="55" w:type="dxa"/>
          <w:left w:w="53" w:type="dxa"/>
          <w:bottom w:w="55" w:type="dxa"/>
          <w:right w:w="55" w:type="dxa"/>
        </w:tblCellMar>
      </w:tblPr>
      <w:tblGrid>
        <w:gridCol w:w="679"/>
        <w:gridCol w:w="3458"/>
        <w:gridCol w:w="3963"/>
        <w:gridCol w:w="1537"/>
      </w:tblGrid>
      <w:tr>
        <w:trPr/>
        <w:tc>
          <w:tcPr>
            <w:tcW w:w="679"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w:t>
            </w:r>
          </w:p>
        </w:tc>
        <w:tc>
          <w:tcPr>
            <w:tcW w:w="3458"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Title</w:t>
            </w:r>
          </w:p>
        </w:tc>
        <w:tc>
          <w:tcPr>
            <w:tcW w:w="3963"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Description</w:t>
            </w:r>
          </w:p>
        </w:tc>
        <w:tc>
          <w:tcPr>
            <w:tcW w:w="153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Style21"/>
              <w:jc w:val="both"/>
              <w:rPr>
                <w:rFonts w:ascii="Roboto" w:hAnsi="Roboto"/>
                <w:sz w:val="28"/>
                <w:szCs w:val="28"/>
              </w:rPr>
            </w:pPr>
            <w:r>
              <w:rPr>
                <w:rFonts w:ascii="Roboto" w:hAnsi="Roboto"/>
                <w:sz w:val="28"/>
                <w:szCs w:val="28"/>
              </w:rPr>
              <w:t>Type</w:t>
            </w:r>
          </w:p>
        </w:tc>
      </w:tr>
      <w:tr>
        <w:trPr/>
        <w:tc>
          <w:tcPr>
            <w:tcW w:w="679"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1</w:t>
            </w:r>
          </w:p>
        </w:tc>
        <w:tc>
          <w:tcPr>
            <w:tcW w:w="3458"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Game Name</w:t>
            </w:r>
          </w:p>
        </w:tc>
        <w:tc>
          <w:tcPr>
            <w:tcW w:w="3963"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lang w:val="en-US"/>
              </w:rPr>
            </w:pPr>
            <w:r>
              <w:rPr>
                <w:rFonts w:ascii="Roboto" w:hAnsi="Roboto"/>
                <w:sz w:val="28"/>
                <w:szCs w:val="28"/>
                <w:lang w:val="en-US"/>
              </w:rPr>
              <w:t>The name of the game used in the back office.</w:t>
            </w:r>
          </w:p>
          <w:p>
            <w:pPr>
              <w:pStyle w:val="Style21"/>
              <w:jc w:val="both"/>
              <w:rPr>
                <w:rFonts w:ascii="Roboto" w:hAnsi="Roboto"/>
                <w:sz w:val="28"/>
                <w:szCs w:val="28"/>
                <w:lang w:val="en-US"/>
              </w:rPr>
            </w:pPr>
            <w:r>
              <w:rPr>
                <w:rFonts w:ascii="Roboto" w:hAnsi="Roboto"/>
                <w:sz w:val="28"/>
                <w:szCs w:val="28"/>
                <w:lang w:val="en-US"/>
              </w:rPr>
              <w:t>Clickable.</w:t>
            </w:r>
          </w:p>
        </w:tc>
        <w:tc>
          <w:tcPr>
            <w:tcW w:w="153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Style21"/>
              <w:jc w:val="both"/>
              <w:rPr>
                <w:rFonts w:ascii="Roboto" w:hAnsi="Roboto"/>
                <w:sz w:val="28"/>
                <w:szCs w:val="28"/>
              </w:rPr>
            </w:pPr>
            <w:r>
              <w:rPr>
                <w:rFonts w:ascii="Roboto" w:hAnsi="Roboto"/>
                <w:sz w:val="28"/>
                <w:szCs w:val="28"/>
              </w:rPr>
              <w:t>Text</w:t>
            </w:r>
          </w:p>
        </w:tc>
      </w:tr>
      <w:tr>
        <w:trPr/>
        <w:tc>
          <w:tcPr>
            <w:tcW w:w="679"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2</w:t>
            </w:r>
          </w:p>
        </w:tc>
        <w:tc>
          <w:tcPr>
            <w:tcW w:w="3458"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BTG Mode</w:t>
            </w:r>
          </w:p>
        </w:tc>
        <w:tc>
          <w:tcPr>
            <w:tcW w:w="3963"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lang w:val="en-US"/>
              </w:rPr>
            </w:pPr>
            <w:r>
              <w:rPr>
                <w:rFonts w:ascii="Roboto" w:hAnsi="Roboto"/>
                <w:sz w:val="28"/>
                <w:szCs w:val="28"/>
                <w:lang w:val="en-US"/>
              </w:rPr>
              <w:t>Can be ON or OFF. Also, with ON the background color of the cell becomes green, with OFF - red.</w:t>
            </w:r>
          </w:p>
        </w:tc>
        <w:tc>
          <w:tcPr>
            <w:tcW w:w="153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Style21"/>
              <w:jc w:val="both"/>
              <w:rPr>
                <w:rFonts w:ascii="Roboto" w:hAnsi="Roboto"/>
                <w:sz w:val="28"/>
                <w:szCs w:val="28"/>
              </w:rPr>
            </w:pPr>
            <w:r>
              <w:rPr>
                <w:rFonts w:ascii="Roboto" w:hAnsi="Roboto"/>
                <w:sz w:val="28"/>
                <w:szCs w:val="28"/>
              </w:rPr>
              <w:t>Bool</w:t>
            </w:r>
          </w:p>
        </w:tc>
      </w:tr>
      <w:tr>
        <w:trPr/>
        <w:tc>
          <w:tcPr>
            <w:tcW w:w="679"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3</w:t>
            </w:r>
          </w:p>
        </w:tc>
        <w:tc>
          <w:tcPr>
            <w:tcW w:w="3458"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 Rake</w:t>
            </w:r>
          </w:p>
        </w:tc>
        <w:tc>
          <w:tcPr>
            <w:tcW w:w="3963"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lang w:val="en-US"/>
              </w:rPr>
            </w:pPr>
            <w:r>
              <w:rPr>
                <w:rFonts w:ascii="Roboto" w:hAnsi="Roboto"/>
                <w:sz w:val="28"/>
                <w:szCs w:val="28"/>
                <w:lang w:val="en-US"/>
              </w:rPr>
              <w:t>Rake expressed as a percentage.</w:t>
            </w:r>
          </w:p>
        </w:tc>
        <w:tc>
          <w:tcPr>
            <w:tcW w:w="153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Style21"/>
              <w:jc w:val="both"/>
              <w:rPr>
                <w:rFonts w:ascii="Roboto" w:hAnsi="Roboto"/>
                <w:sz w:val="28"/>
                <w:szCs w:val="28"/>
              </w:rPr>
            </w:pPr>
            <w:r>
              <w:rPr>
                <w:rFonts w:ascii="Roboto" w:hAnsi="Roboto"/>
                <w:sz w:val="28"/>
                <w:szCs w:val="28"/>
              </w:rPr>
              <w:t>Number</w:t>
            </w:r>
          </w:p>
        </w:tc>
      </w:tr>
      <w:tr>
        <w:trPr/>
        <w:tc>
          <w:tcPr>
            <w:tcW w:w="679"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4</w:t>
            </w:r>
          </w:p>
        </w:tc>
        <w:tc>
          <w:tcPr>
            <w:tcW w:w="3458"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Buy-Ins</w:t>
            </w:r>
          </w:p>
        </w:tc>
        <w:tc>
          <w:tcPr>
            <w:tcW w:w="3963"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lang w:val="en-US"/>
              </w:rPr>
            </w:pPr>
            <w:r>
              <w:rPr>
                <w:rFonts w:ascii="Roboto" w:hAnsi="Roboto"/>
                <w:sz w:val="28"/>
                <w:szCs w:val="28"/>
                <w:lang w:val="en-US"/>
              </w:rPr>
              <w:t xml:space="preserve">The current buy-in set for the game. Values are listed separated by commas. </w:t>
            </w:r>
          </w:p>
        </w:tc>
        <w:tc>
          <w:tcPr>
            <w:tcW w:w="153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Style21"/>
              <w:jc w:val="both"/>
              <w:rPr>
                <w:rFonts w:ascii="Roboto" w:hAnsi="Roboto"/>
                <w:sz w:val="28"/>
                <w:szCs w:val="28"/>
              </w:rPr>
            </w:pPr>
            <w:r>
              <w:rPr>
                <w:rFonts w:ascii="Roboto" w:hAnsi="Roboto"/>
                <w:sz w:val="28"/>
                <w:szCs w:val="28"/>
              </w:rPr>
              <w:t>Text</w:t>
            </w:r>
          </w:p>
        </w:tc>
      </w:tr>
      <w:tr>
        <w:trPr/>
        <w:tc>
          <w:tcPr>
            <w:tcW w:w="679"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5</w:t>
            </w:r>
          </w:p>
        </w:tc>
        <w:tc>
          <w:tcPr>
            <w:tcW w:w="3458"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Max Number of Players</w:t>
            </w:r>
          </w:p>
        </w:tc>
        <w:tc>
          <w:tcPr>
            <w:tcW w:w="3963"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lang w:val="en-US"/>
              </w:rPr>
            </w:pPr>
            <w:r>
              <w:rPr>
                <w:rFonts w:ascii="Roboto" w:hAnsi="Roboto"/>
                <w:sz w:val="28"/>
                <w:szCs w:val="28"/>
                <w:lang w:val="en-US"/>
              </w:rPr>
              <w:t>The maximum number of people for one room of this game.</w:t>
            </w:r>
          </w:p>
        </w:tc>
        <w:tc>
          <w:tcPr>
            <w:tcW w:w="153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Style21"/>
              <w:jc w:val="both"/>
              <w:rPr>
                <w:rFonts w:ascii="Roboto" w:hAnsi="Roboto"/>
                <w:sz w:val="28"/>
                <w:szCs w:val="28"/>
              </w:rPr>
            </w:pPr>
            <w:r>
              <w:rPr>
                <w:rFonts w:ascii="Roboto" w:hAnsi="Roboto"/>
                <w:sz w:val="28"/>
                <w:szCs w:val="28"/>
              </w:rPr>
              <w:t>Number</w:t>
            </w:r>
          </w:p>
        </w:tc>
      </w:tr>
      <w:tr>
        <w:trPr>
          <w:trHeight w:val="552" w:hRule="atLeast"/>
        </w:trPr>
        <w:tc>
          <w:tcPr>
            <w:tcW w:w="679"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6</w:t>
            </w:r>
          </w:p>
        </w:tc>
        <w:tc>
          <w:tcPr>
            <w:tcW w:w="3458" w:type="dxa"/>
            <w:tcBorders>
              <w:top w:val="single" w:sz="2" w:space="0" w:color="000000"/>
              <w:left w:val="single" w:sz="2" w:space="0" w:color="000000"/>
              <w:bottom w:val="single" w:sz="2" w:space="0" w:color="000000"/>
              <w:insideH w:val="single" w:sz="2" w:space="0" w:color="000000"/>
            </w:tcBorders>
            <w:shd w:fill="auto" w:val="clear"/>
          </w:tcPr>
          <w:p>
            <w:pPr>
              <w:pStyle w:val="Style16"/>
              <w:spacing w:before="0" w:after="140"/>
              <w:jc w:val="both"/>
              <w:rPr>
                <w:rFonts w:ascii="Roboto" w:hAnsi="Roboto"/>
                <w:sz w:val="28"/>
                <w:szCs w:val="28"/>
                <w:lang w:val="en-US"/>
              </w:rPr>
            </w:pPr>
            <w:r>
              <w:rPr>
                <w:sz w:val="28"/>
                <w:szCs w:val="28"/>
                <w:lang w:val="en-US"/>
              </w:rPr>
              <w:t>Prize Pool Values</w:t>
            </w:r>
          </w:p>
        </w:tc>
        <w:tc>
          <w:tcPr>
            <w:tcW w:w="3963"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lang w:val="en-US"/>
              </w:rPr>
            </w:pPr>
            <w:r>
              <w:rPr>
                <w:rFonts w:ascii="Roboto" w:hAnsi="Roboto"/>
                <w:sz w:val="28"/>
                <w:szCs w:val="28"/>
                <w:lang w:val="en-US"/>
              </w:rPr>
              <w:t>Prize pool calculated for each of the available buy-ins. Values are listed separated by commas.</w:t>
            </w:r>
          </w:p>
        </w:tc>
        <w:tc>
          <w:tcPr>
            <w:tcW w:w="153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Style21"/>
              <w:jc w:val="both"/>
              <w:rPr>
                <w:rFonts w:ascii="Roboto" w:hAnsi="Roboto"/>
                <w:sz w:val="28"/>
                <w:szCs w:val="28"/>
              </w:rPr>
            </w:pPr>
            <w:r>
              <w:rPr>
                <w:rFonts w:ascii="Roboto" w:hAnsi="Roboto"/>
                <w:sz w:val="28"/>
                <w:szCs w:val="28"/>
              </w:rPr>
              <w:t>Text</w:t>
            </w:r>
          </w:p>
        </w:tc>
      </w:tr>
    </w:tbl>
    <w:p>
      <w:pPr>
        <w:pStyle w:val="Style16"/>
        <w:rPr>
          <w:lang w:val="en-US"/>
        </w:rPr>
      </w:pPr>
      <w:r>
        <w:rPr>
          <w:lang w:val="en-US"/>
        </w:rPr>
      </w:r>
    </w:p>
    <w:p>
      <w:pPr>
        <w:pStyle w:val="Style16"/>
        <w:jc w:val="center"/>
        <w:rPr>
          <w:lang w:val="en-US"/>
        </w:rPr>
      </w:pPr>
      <w: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120130" cy="3032760"/>
            <wp:effectExtent l="0" t="0" r="0" b="0"/>
            <wp:wrapTopAndBottom/>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120130" cy="3032760"/>
                    </a:xfrm>
                    <a:prstGeom prst="rect">
                      <a:avLst/>
                    </a:prstGeom>
                  </pic:spPr>
                </pic:pic>
              </a:graphicData>
            </a:graphic>
          </wp:anchor>
        </w:drawing>
      </w:r>
      <w:r>
        <w:rPr>
          <w:lang w:val="en-US"/>
        </w:rPr>
        <w:t>P</w:t>
      </w:r>
      <w:r>
        <w:rPr>
          <w:lang w:val="en-US"/>
        </w:rPr>
        <w:t>icture 1 – Interface of the main page of report "MQ BTG Configurator"</w:t>
      </w:r>
    </w:p>
    <w:p>
      <w:pPr>
        <w:pStyle w:val="Style16"/>
        <w:rPr>
          <w:lang w:val="en-US"/>
        </w:rPr>
      </w:pPr>
      <w:r>
        <w:rPr>
          <w:lang w:val="en-US"/>
        </w:rPr>
      </w:r>
    </w:p>
    <w:p>
      <w:pPr>
        <w:pStyle w:val="Style16"/>
        <w:rPr/>
      </w:pPr>
      <w:r>
        <w:rPr>
          <w:lang w:val="en-US"/>
        </w:rPr>
        <w:t>Clicking on the "Game Name" of the game should open the "MQ BTG Editor" pop-up window. The functionality and properties of this window are described in section 2.</w:t>
      </w:r>
      <w:r>
        <w:rPr>
          <w:lang w:val="en-US"/>
        </w:rPr>
        <w:t>2.2</w:t>
      </w:r>
      <w:r>
        <w:rPr>
          <w:lang w:val="en-US"/>
        </w:rPr>
        <w:t>.</w:t>
      </w:r>
    </w:p>
    <w:p>
      <w:pPr>
        <w:pStyle w:val="2"/>
        <w:numPr>
          <w:ilvl w:val="0"/>
          <w:numId w:val="0"/>
        </w:numPr>
        <w:outlineLvl w:val="1"/>
        <w:rPr/>
      </w:pPr>
      <w:r>
        <w:rPr/>
      </w:r>
      <w:r>
        <w:br w:type="page"/>
      </w:r>
    </w:p>
    <w:p>
      <w:pPr>
        <w:pStyle w:val="2"/>
        <w:numPr>
          <w:ilvl w:val="1"/>
          <w:numId w:val="2"/>
        </w:numPr>
        <w:rPr/>
      </w:pPr>
      <w:bookmarkStart w:id="8" w:name="__RefHeading___Toc7603_2943866147"/>
      <w:bookmarkEnd w:id="8"/>
      <w:r>
        <w:rPr/>
        <w:t>2.2.</w:t>
      </w:r>
      <w:r>
        <w:rPr/>
        <w:t>2</w:t>
      </w:r>
      <w:r>
        <w:rPr/>
        <w:t xml:space="preserve"> MQ BTG Editor</w:t>
      </w:r>
    </w:p>
    <w:p>
      <w:pPr>
        <w:pStyle w:val="Style16"/>
        <w:rPr>
          <w:lang w:val="en-US"/>
        </w:rPr>
      </w:pPr>
      <w:r>
        <w:rPr>
          <w:lang w:val="en-US"/>
        </w:rPr>
        <w:t>This section is a pop-up window that allows to edit the BTG mode settings for a specific game.</w:t>
      </w:r>
    </w:p>
    <w:p>
      <w:pPr>
        <w:pStyle w:val="Style16"/>
        <w:rPr/>
      </w:pPr>
      <w:r>
        <w:rPr>
          <w:lang w:val="en-US"/>
        </w:rPr>
        <w:t>The name of the game and the bank</w:t>
      </w:r>
      <w:r>
        <w:rPr>
          <w:lang w:val="en-US"/>
        </w:rPr>
        <w:t>Id</w:t>
      </w:r>
      <w:r>
        <w:rPr>
          <w:lang w:val="en-US"/>
        </w:rPr>
        <w:t xml:space="preserve"> should be displayed at the top of this window. At the bottom of this window there should be buttons "Save" and "Cancel".</w:t>
      </w:r>
    </w:p>
    <w:p>
      <w:pPr>
        <w:pStyle w:val="Style16"/>
        <w:rPr>
          <w:lang w:val="en-US"/>
        </w:rPr>
      </w:pPr>
      <w:r>
        <w:rPr>
          <w:lang w:val="en-US"/>
        </w:rPr>
        <w:t>In this window, the user can change the following parameters:</w:t>
      </w:r>
    </w:p>
    <w:tbl>
      <w:tblPr>
        <w:tblW w:w="9645" w:type="dxa"/>
        <w:jc w:val="left"/>
        <w:tblInd w:w="0" w:type="dxa"/>
        <w:tblBorders>
          <w:top w:val="single" w:sz="2" w:space="0" w:color="000000"/>
          <w:left w:val="single" w:sz="2" w:space="0" w:color="000000"/>
          <w:bottom w:val="single" w:sz="2" w:space="0" w:color="000000"/>
          <w:insideH w:val="single" w:sz="2" w:space="0" w:color="000000"/>
        </w:tblBorders>
        <w:tblCellMar>
          <w:top w:w="55" w:type="dxa"/>
          <w:left w:w="53" w:type="dxa"/>
          <w:bottom w:w="55" w:type="dxa"/>
          <w:right w:w="55" w:type="dxa"/>
        </w:tblCellMar>
      </w:tblPr>
      <w:tblGrid>
        <w:gridCol w:w="1019"/>
        <w:gridCol w:w="2385"/>
        <w:gridCol w:w="4141"/>
        <w:gridCol w:w="2099"/>
      </w:tblGrid>
      <w:tr>
        <w:trPr/>
        <w:tc>
          <w:tcPr>
            <w:tcW w:w="1019"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w:t>
            </w:r>
          </w:p>
        </w:tc>
        <w:tc>
          <w:tcPr>
            <w:tcW w:w="2385"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Title</w:t>
            </w:r>
          </w:p>
        </w:tc>
        <w:tc>
          <w:tcPr>
            <w:tcW w:w="4141"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Description</w:t>
            </w:r>
          </w:p>
        </w:tc>
        <w:tc>
          <w:tcPr>
            <w:tcW w:w="209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Style21"/>
              <w:jc w:val="both"/>
              <w:rPr>
                <w:rFonts w:ascii="Roboto" w:hAnsi="Roboto"/>
                <w:sz w:val="28"/>
                <w:szCs w:val="28"/>
              </w:rPr>
            </w:pPr>
            <w:r>
              <w:rPr>
                <w:rFonts w:ascii="Roboto" w:hAnsi="Roboto"/>
                <w:sz w:val="28"/>
                <w:szCs w:val="28"/>
              </w:rPr>
              <w:t>Type</w:t>
            </w:r>
          </w:p>
        </w:tc>
      </w:tr>
      <w:tr>
        <w:trPr/>
        <w:tc>
          <w:tcPr>
            <w:tcW w:w="1019"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1</w:t>
            </w:r>
          </w:p>
        </w:tc>
        <w:tc>
          <w:tcPr>
            <w:tcW w:w="2385"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BTG Mode ON</w:t>
            </w:r>
          </w:p>
        </w:tc>
        <w:tc>
          <w:tcPr>
            <w:tcW w:w="4141"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lang w:val="en-US"/>
              </w:rPr>
            </w:pPr>
            <w:r>
              <w:rPr>
                <w:rFonts w:ascii="Roboto" w:hAnsi="Roboto"/>
                <w:sz w:val="28"/>
                <w:szCs w:val="28"/>
                <w:lang w:val="en-US"/>
              </w:rPr>
              <w:t>If set, then the BTG mode for this game is enabled.</w:t>
            </w:r>
          </w:p>
        </w:tc>
        <w:tc>
          <w:tcPr>
            <w:tcW w:w="209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Style21"/>
              <w:jc w:val="center"/>
              <w:rPr>
                <w:rFonts w:ascii="Roboto" w:hAnsi="Roboto"/>
                <w:sz w:val="28"/>
                <w:szCs w:val="28"/>
              </w:rPr>
            </w:pPr>
            <w:r>
              <w:rPr>
                <w:rFonts w:ascii="Roboto" w:hAnsi="Roboto"/>
                <w:sz w:val="28"/>
                <w:szCs w:val="28"/>
              </w:rPr>
              <w:t>Checkbox</w:t>
            </w:r>
          </w:p>
        </w:tc>
      </w:tr>
      <w:tr>
        <w:trPr/>
        <w:tc>
          <w:tcPr>
            <w:tcW w:w="1019"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2</w:t>
            </w:r>
          </w:p>
        </w:tc>
        <w:tc>
          <w:tcPr>
            <w:tcW w:w="2385"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Buy-Ins</w:t>
            </w:r>
          </w:p>
        </w:tc>
        <w:tc>
          <w:tcPr>
            <w:tcW w:w="4141"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pPr>
            <w:r>
              <w:rPr>
                <w:rFonts w:ascii="Roboto" w:hAnsi="Roboto"/>
                <w:sz w:val="28"/>
                <w:szCs w:val="28"/>
                <w:lang w:val="en-US"/>
              </w:rPr>
              <w:t xml:space="preserve">Allows the player to select buy-ins. </w:t>
            </w:r>
            <w:r>
              <w:rPr>
                <w:rFonts w:ascii="Roboto" w:hAnsi="Roboto"/>
                <w:b w:val="false"/>
                <w:i w:val="false"/>
                <w:caps w:val="false"/>
                <w:smallCaps w:val="false"/>
                <w:color w:val="1E1919"/>
                <w:spacing w:val="0"/>
                <w:sz w:val="28"/>
                <w:szCs w:val="28"/>
                <w:lang w:val="en-US"/>
              </w:rPr>
              <w:t>Constraints</w:t>
            </w:r>
            <w:r>
              <w:rPr>
                <w:rFonts w:ascii="Roboto" w:hAnsi="Roboto"/>
                <w:sz w:val="28"/>
                <w:szCs w:val="28"/>
                <w:lang w:val="en-US"/>
              </w:rPr>
              <w:t xml:space="preserve"> are described in Section 2.1.</w:t>
            </w:r>
          </w:p>
        </w:tc>
        <w:tc>
          <w:tcPr>
            <w:tcW w:w="209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Style21"/>
              <w:jc w:val="center"/>
              <w:rPr>
                <w:rFonts w:ascii="Roboto" w:hAnsi="Roboto"/>
                <w:sz w:val="28"/>
                <w:szCs w:val="28"/>
              </w:rPr>
            </w:pPr>
            <w:r>
              <w:rPr>
                <w:rFonts w:ascii="Roboto" w:hAnsi="Roboto"/>
                <w:sz w:val="28"/>
                <w:szCs w:val="28"/>
              </w:rPr>
              <w:t>Multiselect.</w:t>
            </w:r>
          </w:p>
        </w:tc>
      </w:tr>
      <w:tr>
        <w:trPr/>
        <w:tc>
          <w:tcPr>
            <w:tcW w:w="1019"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3</w:t>
            </w:r>
          </w:p>
        </w:tc>
        <w:tc>
          <w:tcPr>
            <w:tcW w:w="2385"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All Buy-Ins</w:t>
            </w:r>
          </w:p>
        </w:tc>
        <w:tc>
          <w:tcPr>
            <w:tcW w:w="4141"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lang w:val="en-US"/>
              </w:rPr>
            </w:pPr>
            <w:r>
              <w:rPr>
                <w:rFonts w:ascii="Roboto" w:hAnsi="Roboto"/>
                <w:sz w:val="28"/>
                <w:szCs w:val="28"/>
                <w:lang w:val="en-US"/>
              </w:rPr>
              <w:t>Allows to select all available buy-ins for this game as active.</w:t>
            </w:r>
          </w:p>
        </w:tc>
        <w:tc>
          <w:tcPr>
            <w:tcW w:w="209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Style21"/>
              <w:jc w:val="center"/>
              <w:rPr>
                <w:rFonts w:ascii="Roboto" w:hAnsi="Roboto"/>
                <w:sz w:val="28"/>
                <w:szCs w:val="28"/>
              </w:rPr>
            </w:pPr>
            <w:r>
              <w:rPr>
                <w:rFonts w:ascii="Roboto" w:hAnsi="Roboto"/>
                <w:sz w:val="28"/>
                <w:szCs w:val="28"/>
              </w:rPr>
              <w:t>Checkbox</w:t>
            </w:r>
          </w:p>
        </w:tc>
      </w:tr>
      <w:tr>
        <w:trPr/>
        <w:tc>
          <w:tcPr>
            <w:tcW w:w="1019"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4</w:t>
            </w:r>
          </w:p>
        </w:tc>
        <w:tc>
          <w:tcPr>
            <w:tcW w:w="2385"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rFonts w:ascii="Roboto" w:hAnsi="Roboto"/>
                <w:sz w:val="28"/>
                <w:szCs w:val="28"/>
              </w:rPr>
            </w:pPr>
            <w:r>
              <w:rPr>
                <w:rFonts w:ascii="Roboto" w:hAnsi="Roboto"/>
                <w:sz w:val="28"/>
                <w:szCs w:val="28"/>
              </w:rPr>
              <w:t>% Rake</w:t>
            </w:r>
          </w:p>
        </w:tc>
        <w:tc>
          <w:tcPr>
            <w:tcW w:w="4141" w:type="dxa"/>
            <w:tcBorders>
              <w:top w:val="single" w:sz="2" w:space="0" w:color="000000"/>
              <w:left w:val="single" w:sz="2" w:space="0" w:color="000000"/>
              <w:bottom w:val="single" w:sz="2" w:space="0" w:color="000000"/>
              <w:insideH w:val="single" w:sz="2" w:space="0" w:color="000000"/>
            </w:tcBorders>
            <w:shd w:fill="auto" w:val="clear"/>
          </w:tcPr>
          <w:p>
            <w:pPr>
              <w:pStyle w:val="Style21"/>
              <w:jc w:val="both"/>
              <w:rPr/>
            </w:pPr>
            <w:r>
              <w:rPr>
                <w:rFonts w:ascii="Roboto" w:hAnsi="Roboto"/>
                <w:sz w:val="28"/>
                <w:szCs w:val="28"/>
                <w:lang w:val="en-US"/>
              </w:rPr>
              <w:t xml:space="preserve">Allows to set the rake. Can be entered from the keyboard or set using the interface to increase (decrease) the value in steps of 1. </w:t>
            </w:r>
            <w:r>
              <w:rPr>
                <w:rFonts w:ascii="Roboto" w:hAnsi="Roboto"/>
                <w:b w:val="false"/>
                <w:i w:val="false"/>
                <w:caps w:val="false"/>
                <w:smallCaps w:val="false"/>
                <w:color w:val="1E1919"/>
                <w:spacing w:val="0"/>
                <w:sz w:val="28"/>
                <w:szCs w:val="28"/>
                <w:lang w:val="en-US"/>
              </w:rPr>
              <w:t>Constraints</w:t>
            </w:r>
            <w:r>
              <w:rPr>
                <w:rFonts w:ascii="Roboto" w:hAnsi="Roboto"/>
                <w:sz w:val="28"/>
                <w:szCs w:val="28"/>
                <w:lang w:val="en-US"/>
              </w:rPr>
              <w:t xml:space="preserve"> are described in Section 2.1.</w:t>
            </w:r>
          </w:p>
        </w:tc>
        <w:tc>
          <w:tcPr>
            <w:tcW w:w="209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Style21"/>
              <w:jc w:val="center"/>
              <w:rPr>
                <w:rFonts w:ascii="Roboto" w:hAnsi="Roboto"/>
                <w:sz w:val="28"/>
                <w:szCs w:val="28"/>
              </w:rPr>
            </w:pPr>
            <w:r>
              <w:rPr>
                <w:rFonts w:ascii="Roboto" w:hAnsi="Roboto"/>
                <w:sz w:val="28"/>
                <w:szCs w:val="28"/>
              </w:rPr>
              <w:t>Input</w:t>
            </w:r>
          </w:p>
        </w:tc>
      </w:tr>
    </w:tbl>
    <w:p>
      <w:pPr>
        <w:pStyle w:val="Style16"/>
        <w:rPr>
          <w:lang w:val="en-US"/>
        </w:rPr>
      </w:pPr>
      <w:r>
        <w:rPr>
          <w:lang w:val="en-US"/>
        </w:rPr>
      </w:r>
    </w:p>
    <w:p>
      <w:pPr>
        <w:pStyle w:val="Style16"/>
        <w:spacing w:before="0" w:after="140"/>
        <w:jc w:val="center"/>
        <w:rPr/>
      </w:pPr>
      <w: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4581525" cy="5514975"/>
            <wp:effectExtent l="0" t="0" r="0" b="0"/>
            <wp:wrapTopAndBottom/>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4581525" cy="5514975"/>
                    </a:xfrm>
                    <a:prstGeom prst="rect">
                      <a:avLst/>
                    </a:prstGeom>
                  </pic:spPr>
                </pic:pic>
              </a:graphicData>
            </a:graphic>
          </wp:anchor>
        </w:drawing>
      </w:r>
      <w:r>
        <w:rPr>
          <w:lang w:val="en-US"/>
        </w:rPr>
        <w:t>P</w:t>
      </w:r>
      <w:r>
        <w:rPr>
          <w:lang w:val="en-US"/>
        </w:rPr>
        <w:t>icture 2 – Interface of Edit window</w:t>
      </w:r>
    </w:p>
    <w:sectPr>
      <w:footerReference w:type="default" r:id="rId4"/>
      <w:type w:val="nextPage"/>
      <w:pgSz w:w="11906" w:h="16838"/>
      <w:pgMar w:left="1134" w:right="1134" w:header="0" w:top="1134" w:footer="1134" w:bottom="1743" w:gutter="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Roboto">
    <w:charset w:val="01"/>
    <w:family w:val="swiss"/>
    <w:pitch w:val="variable"/>
  </w:font>
  <w:font w:name="Roboto">
    <w:charset w:val="01"/>
    <w:family w:val="auto"/>
    <w:pitch w:val="default"/>
  </w:font>
  <w:font w:name="OpenSymbol">
    <w:altName w:val="Arial Unicode MS"/>
    <w:charset w:val="01"/>
    <w:family w:val="roman"/>
    <w:pitch w:val="variable"/>
  </w:font>
  <w:font w:name="Liberation Sans">
    <w:altName w:val="Arial"/>
    <w:charset w:val="01"/>
    <w:family w:val="roman"/>
    <w:pitch w:val="variable"/>
  </w:font>
  <w:font w:name="Roboto">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23"/>
      <w:jc w:val="right"/>
      <w:rPr>
        <w:rFonts w:ascii="Roboto" w:hAnsi="Roboto"/>
        <w:sz w:val="28"/>
        <w:szCs w:val="28"/>
      </w:rPr>
    </w:pPr>
    <w:r>
      <w:rPr/>
      <w:fldChar w:fldCharType="begin"/>
    </w:r>
    <w:r>
      <w:rPr/>
      <w:instrText>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1"/>
      <w:numFmt w:val="none"/>
      <w:suff w:val="nothing"/>
      <w:lvlText w:val=""/>
      <w:lvlJc w:val="left"/>
      <w:pPr>
        <w:ind w:left="0" w:hanging="0"/>
      </w:pPr>
    </w:lvl>
    <w:lvl w:ilvl="1">
      <w:start w:val="1"/>
      <w:pStyle w:val="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4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Lohit Devanagari"/>
        <w:kern w:val="2"/>
        <w:szCs w:val="24"/>
        <w:lang w:val="ru-RU" w:eastAsia="zh-CN" w:bidi="hi-IN"/>
      </w:rPr>
    </w:rPrDefault>
    <w:pPrDefault>
      <w:pPr/>
    </w:pPrDefault>
  </w:docDefaults>
  <w:style w:type="paragraph" w:styleId="Normal">
    <w:name w:val="Normal"/>
    <w:qFormat/>
    <w:pPr>
      <w:widowControl/>
      <w:bidi w:val="0"/>
      <w:jc w:val="left"/>
    </w:pPr>
    <w:rPr>
      <w:rFonts w:ascii="Liberation Serif" w:hAnsi="Liberation Serif" w:eastAsia="WenQuanYi Micro Hei" w:cs="Lohit Devanagari"/>
      <w:color w:val="auto"/>
      <w:kern w:val="2"/>
      <w:sz w:val="24"/>
      <w:szCs w:val="24"/>
      <w:lang w:val="ru-RU" w:eastAsia="zh-CN" w:bidi="hi-IN"/>
    </w:rPr>
  </w:style>
  <w:style w:type="paragraph" w:styleId="1">
    <w:name w:val="Heading 1"/>
    <w:basedOn w:val="Style15"/>
    <w:qFormat/>
    <w:pPr>
      <w:numPr>
        <w:ilvl w:val="0"/>
        <w:numId w:val="1"/>
      </w:numPr>
      <w:spacing w:before="240" w:after="120"/>
      <w:outlineLvl w:val="0"/>
    </w:pPr>
    <w:rPr>
      <w:rFonts w:ascii="Roboto" w:hAnsi="Roboto"/>
      <w:b/>
      <w:bCs/>
      <w:sz w:val="36"/>
      <w:szCs w:val="36"/>
    </w:rPr>
  </w:style>
  <w:style w:type="paragraph" w:styleId="2">
    <w:name w:val="Heading 2"/>
    <w:basedOn w:val="Style15"/>
    <w:qFormat/>
    <w:pPr>
      <w:numPr>
        <w:ilvl w:val="1"/>
        <w:numId w:val="1"/>
      </w:numPr>
      <w:spacing w:before="200" w:after="120"/>
      <w:outlineLvl w:val="1"/>
    </w:pPr>
    <w:rPr>
      <w:rFonts w:ascii="Roboto" w:hAnsi="Roboto"/>
      <w:b/>
      <w:bCs/>
      <w:sz w:val="28"/>
      <w:szCs w:val="28"/>
    </w:rPr>
  </w:style>
  <w:style w:type="character" w:styleId="Style12">
    <w:name w:val="Маркеры списка"/>
    <w:qFormat/>
    <w:rPr>
      <w:rFonts w:ascii="OpenSymbol" w:hAnsi="OpenSymbol" w:eastAsia="OpenSymbol" w:cs="OpenSymbol"/>
    </w:rPr>
  </w:style>
  <w:style w:type="character" w:styleId="Style13">
    <w:name w:val="Интернет-ссылка"/>
    <w:rPr>
      <w:color w:val="000080"/>
      <w:u w:val="single"/>
      <w:lang w:val="zxx" w:eastAsia="zxx" w:bidi="zxx"/>
    </w:rPr>
  </w:style>
  <w:style w:type="character" w:styleId="Style14">
    <w:name w:val="Ссылка указателя"/>
    <w:qFormat/>
    <w:rPr/>
  </w:style>
  <w:style w:type="character" w:styleId="ListLabel1">
    <w:name w:val="ListLabel 1"/>
    <w:qFormat/>
    <w:rPr>
      <w:rFonts w:cs="Open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paragraph" w:styleId="Style15">
    <w:name w:val="Заголовок"/>
    <w:basedOn w:val="Normal"/>
    <w:next w:val="Style16"/>
    <w:qFormat/>
    <w:pPr>
      <w:keepNext w:val="true"/>
      <w:spacing w:before="240" w:after="120"/>
    </w:pPr>
    <w:rPr>
      <w:rFonts w:ascii="Liberation Sans" w:hAnsi="Liberation Sans" w:eastAsia="WenQuanYi Micro Hei" w:cs="Lohit Devanagari"/>
      <w:sz w:val="28"/>
      <w:szCs w:val="28"/>
    </w:rPr>
  </w:style>
  <w:style w:type="paragraph" w:styleId="Style16">
    <w:name w:val="Body Text"/>
    <w:basedOn w:val="Normal"/>
    <w:pPr>
      <w:spacing w:lineRule="auto" w:line="276" w:before="0" w:after="140"/>
      <w:jc w:val="both"/>
    </w:pPr>
    <w:rPr>
      <w:rFonts w:ascii="Roboto" w:hAnsi="Roboto"/>
      <w:sz w:val="28"/>
      <w:szCs w:val="28"/>
      <w:lang w:val="en-US"/>
    </w:rPr>
  </w:style>
  <w:style w:type="paragraph" w:styleId="Style17">
    <w:name w:val="List"/>
    <w:basedOn w:val="Style16"/>
    <w:pPr/>
    <w:rPr>
      <w:rFonts w:cs="Lohit Devanagari"/>
    </w:rPr>
  </w:style>
  <w:style w:type="paragraph" w:styleId="Style18">
    <w:name w:val="Caption"/>
    <w:basedOn w:val="Normal"/>
    <w:qFormat/>
    <w:pPr>
      <w:suppressLineNumbers/>
      <w:spacing w:before="120" w:after="120"/>
    </w:pPr>
    <w:rPr>
      <w:rFonts w:cs="Lohit Devanagari"/>
      <w:i/>
      <w:iCs/>
      <w:sz w:val="24"/>
      <w:szCs w:val="24"/>
    </w:rPr>
  </w:style>
  <w:style w:type="paragraph" w:styleId="Style19">
    <w:name w:val="Указатель"/>
    <w:basedOn w:val="Normal"/>
    <w:qFormat/>
    <w:pPr>
      <w:suppressLineNumbers/>
    </w:pPr>
    <w:rPr>
      <w:rFonts w:cs="Lohit Devanagari"/>
    </w:rPr>
  </w:style>
  <w:style w:type="paragraph" w:styleId="Style20">
    <w:name w:val="Title"/>
    <w:basedOn w:val="Style15"/>
    <w:qFormat/>
    <w:pPr>
      <w:jc w:val="center"/>
    </w:pPr>
    <w:rPr>
      <w:b/>
      <w:bCs/>
      <w:sz w:val="56"/>
      <w:szCs w:val="56"/>
    </w:rPr>
  </w:style>
  <w:style w:type="paragraph" w:styleId="Style21">
    <w:name w:val="Содержимое таблицы"/>
    <w:basedOn w:val="Normal"/>
    <w:qFormat/>
    <w:pPr>
      <w:suppressLineNumbers/>
    </w:pPr>
    <w:rPr/>
  </w:style>
  <w:style w:type="paragraph" w:styleId="Style22">
    <w:name w:val="Заголовок таблицы"/>
    <w:basedOn w:val="Style21"/>
    <w:qFormat/>
    <w:pPr>
      <w:suppressLineNumbers/>
      <w:jc w:val="center"/>
    </w:pPr>
    <w:rPr>
      <w:b/>
      <w:bCs/>
    </w:rPr>
  </w:style>
  <w:style w:type="paragraph" w:styleId="Style23">
    <w:name w:val="Footer"/>
    <w:basedOn w:val="Normal"/>
    <w:pPr>
      <w:suppressLineNumbers/>
      <w:tabs>
        <w:tab w:val="center" w:pos="4819" w:leader="none"/>
        <w:tab w:val="right" w:pos="9638" w:leader="none"/>
      </w:tabs>
    </w:pPr>
    <w:rPr/>
  </w:style>
  <w:style w:type="paragraph" w:styleId="TOAHeading">
    <w:name w:val="TOA Heading"/>
    <w:basedOn w:val="Style15"/>
    <w:qFormat/>
    <w:pPr>
      <w:suppressLineNumbers/>
      <w:ind w:left="0" w:hanging="0"/>
    </w:pPr>
    <w:rPr>
      <w:b/>
      <w:bCs/>
      <w:sz w:val="32"/>
      <w:szCs w:val="32"/>
    </w:rPr>
  </w:style>
  <w:style w:type="paragraph" w:styleId="111">
    <w:name w:val="Заголовок111"/>
    <w:basedOn w:val="1"/>
    <w:qFormat/>
    <w:pPr>
      <w:numPr>
        <w:ilvl w:val="0"/>
        <w:numId w:val="0"/>
      </w:numPr>
      <w:ind w:hanging="0"/>
    </w:pPr>
    <w:rPr/>
  </w:style>
  <w:style w:type="paragraph" w:styleId="11">
    <w:name w:val="TOC 1"/>
    <w:basedOn w:val="Style19"/>
    <w:pPr>
      <w:tabs>
        <w:tab w:val="right" w:pos="9638" w:leader="dot"/>
      </w:tabs>
      <w:ind w:left="0" w:hanging="0"/>
    </w:pPr>
    <w:rPr/>
  </w:style>
  <w:style w:type="paragraph" w:styleId="21">
    <w:name w:val="TOC 2"/>
    <w:basedOn w:val="Style19"/>
    <w:pPr>
      <w:tabs>
        <w:tab w:val="right" w:pos="9355" w:leader="dot"/>
      </w:tabs>
      <w:ind w:left="283"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LibreOffice/6.0.7.3$Linux_X86_64 LibreOffice_project/00m0$Build-3</Application>
  <Pages>9</Pages>
  <Words>865</Words>
  <Characters>4045</Characters>
  <CharactersWithSpaces>4818</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2022-02-15T10:40:46Z</dcterms:created>
  <dc:creator/>
  <dc:description/>
  <dc:language>ru-RU</dc:language>
  <cp:lastModifiedBy/>
  <dcterms:modified xsi:type="dcterms:W3CDTF">2022-02-17T11:02:30Z</dcterms:modified>
  <cp:revision>5</cp:revision>
  <dc:subject/>
  <dc:title/>
</cp:coreProperties>
</file>