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77D" w:rsidRPr="001D077D" w:rsidRDefault="001D077D" w:rsidP="001D0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8327D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>ARQUIVO CENTRAL DE GOVERNANÇA PLANETÁRIA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8E14B0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Relatório Histórico Sintético nº 7.441</w:t>
      </w:r>
    </w:p>
    <w:p w:rsidR="00272F2B" w:rsidRDefault="001D077D" w:rsidP="00272F2B">
      <w:p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="009679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8E14B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 Fragmentação Estatal ao Consenso Corporativo Global (2100–2640)</w:t>
      </w:r>
    </w:p>
    <w:p w:rsidR="001D077D" w:rsidRPr="001D077D" w:rsidRDefault="001D077D" w:rsidP="00272F2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Classificação: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D07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consolidação: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Ano civil 2640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D07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Órgão emissor: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Conselho de Continuidade Sistêmica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D07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Finalidade: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histórico e padronização interpretativa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422C17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1. Introdução</w:t>
      </w:r>
    </w:p>
    <w:p w:rsidR="001D077D" w:rsidRPr="001D077D" w:rsidRDefault="001D077D" w:rsidP="00C014B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O presente relatório tem como objetivo descrever, de forma sintética e cronologicamente estruturada, o processo de declínio dos sistemas estatais tradicionais e a subsequente consolidação da governança corporativa global, atualmente vigente.</w:t>
      </w:r>
    </w:p>
    <w:p w:rsidR="001D077D" w:rsidRPr="001D077D" w:rsidRDefault="001D077D" w:rsidP="00C014B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O documento não atribui juízo moral aos eventos descritos. Limita-se à análise funcional dos sistemas políticos, econômicos e informacionais entre os séculos XXII e XXVII.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422C17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2. Primeira Fase — Fragmentação Geopolítica em Blocos Funcionais (≈ 2100–2180)</w:t>
      </w:r>
    </w:p>
    <w:p w:rsidR="001D077D" w:rsidRPr="001D077D" w:rsidRDefault="001D077D" w:rsidP="008327D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início do século XXII, observou-se a reorganização do sistema internacional em quatro grandes blocos macroeconômicos:</w:t>
      </w:r>
    </w:p>
    <w:p w:rsidR="001D077D" w:rsidRPr="001D077D" w:rsidRDefault="001D077D" w:rsidP="008327D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2F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USA</w:t>
      </w:r>
    </w:p>
    <w:p w:rsidR="001D077D" w:rsidRPr="001D077D" w:rsidRDefault="001D077D" w:rsidP="001D0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2F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Resto das Américas</w:t>
      </w:r>
    </w:p>
    <w:p w:rsidR="001D077D" w:rsidRPr="001D077D" w:rsidRDefault="001D077D" w:rsidP="001D0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2F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Japão–China–Rússia</w:t>
      </w:r>
    </w:p>
    <w:p w:rsidR="001D077D" w:rsidRPr="001D077D" w:rsidRDefault="001D077D" w:rsidP="008327D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2F2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Europa–África</w:t>
      </w:r>
    </w:p>
    <w:p w:rsidR="001D077D" w:rsidRPr="001D077D" w:rsidRDefault="001D077D" w:rsidP="00832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blocos mantinham estruturas estatais formais, porém passaram a operar prioritariamente segundo lógicas econômicas e produtivas. A soberania política começou a ser subordinada à estabilidade financeira e ao acesso a cadeias globais de suprimento.</w:t>
      </w:r>
    </w:p>
    <w:p w:rsidR="001D077D" w:rsidRPr="001D077D" w:rsidRDefault="001D077D" w:rsidP="00C014B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estágio, os sistemas permaneciam funcionais, ainda que progressivamente dependentes de infraestruturas privadas.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272F2B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3. Segunda Fase — Erosão da Capacidade Estatal (≈ 2180–2250)</w:t>
      </w:r>
    </w:p>
    <w:p w:rsidR="001D077D" w:rsidRPr="001D077D" w:rsidRDefault="001D077D" w:rsidP="008327D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da segunda metade do século XXII, os Estados apresentaram perda gradual de capacidade operacional, caracterizada por:</w:t>
      </w:r>
    </w:p>
    <w:p w:rsidR="001D077D" w:rsidRPr="001D077D" w:rsidRDefault="001D077D" w:rsidP="008327D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incapacidade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regular fluxos financeiros globais;</w:t>
      </w:r>
    </w:p>
    <w:p w:rsidR="001D077D" w:rsidRPr="001D077D" w:rsidRDefault="001D077D" w:rsidP="001D0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dependência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tecnológica de entidades privadas;</w:t>
      </w:r>
    </w:p>
    <w:p w:rsidR="001D077D" w:rsidRPr="001D077D" w:rsidRDefault="001D077D" w:rsidP="001D0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perda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controle sobre dados estratégicos;</w:t>
      </w:r>
    </w:p>
    <w:p w:rsidR="001D077D" w:rsidRPr="001D077D" w:rsidRDefault="001D077D" w:rsidP="008327D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fragilização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sistemas fiscais.</w:t>
      </w:r>
    </w:p>
    <w:p w:rsidR="001D077D" w:rsidRDefault="001D077D" w:rsidP="008327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 governança estatal passou a operar de forma reativa, priorizando mitigação de crises em detrimento de planejamento de longo prazo.</w:t>
      </w:r>
    </w:p>
    <w:p w:rsidR="00600E85" w:rsidRDefault="00600E85" w:rsidP="008327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00E85" w:rsidRDefault="00600E85" w:rsidP="008327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4A3645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lastRenderedPageBreak/>
        <w:t>4. Terceira Fase — Colapso Informacional Sistêmico (≈ 2250–2320)</w:t>
      </w:r>
    </w:p>
    <w:p w:rsidR="001D077D" w:rsidRPr="001D077D" w:rsidRDefault="001D077D" w:rsidP="00FD204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fator decisivo para o declínio institucional foi </w:t>
      </w: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degradação irreversível do ambiente informacional global.</w:t>
      </w:r>
    </w:p>
    <w:p w:rsidR="001D077D" w:rsidRPr="001D077D" w:rsidRDefault="001D077D" w:rsidP="00FD2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 principais:</w:t>
      </w:r>
    </w:p>
    <w:p w:rsidR="001D077D" w:rsidRPr="001D077D" w:rsidRDefault="001D077D" w:rsidP="00FD2044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superprodução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não verificáveis;</w:t>
      </w:r>
    </w:p>
    <w:p w:rsidR="001D077D" w:rsidRPr="001D077D" w:rsidRDefault="001D077D" w:rsidP="001D0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privatização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sistemas de mediação informacional;</w:t>
      </w:r>
    </w:p>
    <w:p w:rsidR="001D077D" w:rsidRPr="001D077D" w:rsidRDefault="001D077D" w:rsidP="001D0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substituição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critérios de verdade por métricas de engajamento e utilidade;</w:t>
      </w:r>
    </w:p>
    <w:p w:rsidR="001D077D" w:rsidRPr="001D077D" w:rsidRDefault="001D077D" w:rsidP="00FD204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perda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generalizada de confiança em fontes públicas.</w:t>
      </w:r>
    </w:p>
    <w:p w:rsidR="001D077D" w:rsidRPr="001D077D" w:rsidRDefault="001D077D" w:rsidP="00FD204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 informação deixou de cumprir função coordenadora e passou a operar como ativo econômico estratégico.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10013B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5. Quarta Fase — Captura Funcional do Estado (≈ 2320–2380)</w:t>
      </w:r>
    </w:p>
    <w:p w:rsidR="001D077D" w:rsidRPr="001D077D" w:rsidRDefault="001D077D" w:rsidP="00FD204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período, grandes corporações passaram a assumir funções tradicionalmente estatais, incluindo:</w:t>
      </w:r>
    </w:p>
    <w:p w:rsidR="001D077D" w:rsidRPr="001D077D" w:rsidRDefault="001D077D" w:rsidP="00FD2044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fornecimento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identidade digital;</w:t>
      </w:r>
    </w:p>
    <w:p w:rsidR="001D077D" w:rsidRPr="001D077D" w:rsidRDefault="001D077D" w:rsidP="001D0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intermediação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financeira;</w:t>
      </w:r>
    </w:p>
    <w:p w:rsidR="001D077D" w:rsidRPr="001D077D" w:rsidRDefault="001D077D" w:rsidP="001D0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logística;</w:t>
      </w:r>
    </w:p>
    <w:p w:rsidR="001D077D" w:rsidRPr="001D077D" w:rsidRDefault="001D077D" w:rsidP="001D0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infraestruturas críticas;</w:t>
      </w:r>
    </w:p>
    <w:p w:rsidR="001D077D" w:rsidRPr="001D077D" w:rsidRDefault="001D077D" w:rsidP="00FD204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serviços essenciais.</w:t>
      </w:r>
    </w:p>
    <w:p w:rsidR="001D077D" w:rsidRPr="001D077D" w:rsidRDefault="001D077D" w:rsidP="00FD204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Os Estados mantiveram existência formal, porém tornaram-se dependentes dessas estruturas para sua própria operação.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457A5E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6. Quinta Fase — Falência Sistêmica Global (≈ 2380–2450)</w:t>
      </w:r>
    </w:p>
    <w:p w:rsidR="001D077D" w:rsidRPr="001D077D" w:rsidRDefault="001D077D" w:rsidP="005B28C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 convergência entre instabilidade informacional, complexidade econômica e incapacidade política levou à falência prática de todos os modelos estatais vigentes, independentemente de orientação ideológica.</w:t>
      </w:r>
    </w:p>
    <w:p w:rsidR="001D077D" w:rsidRPr="001D077D" w:rsidRDefault="001D077D" w:rsidP="005B2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houve colapso súbito, mas um processo prolongado de inoperância, caracterizado por:</w:t>
      </w:r>
    </w:p>
    <w:p w:rsidR="001D077D" w:rsidRPr="001D077D" w:rsidRDefault="001D077D" w:rsidP="005B28C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paralisia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decisória;</w:t>
      </w:r>
    </w:p>
    <w:p w:rsidR="001D077D" w:rsidRPr="001D077D" w:rsidRDefault="001D077D" w:rsidP="001D0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incapacidade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coordenação internacional;</w:t>
      </w:r>
    </w:p>
    <w:p w:rsidR="001D077D" w:rsidRPr="001D077D" w:rsidRDefault="001D077D" w:rsidP="001D0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perda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legitimidade funcional.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CE645E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7. Sexta Fase — Centralização Corporativa e Formação das Cinco Gigantes (≈ 2450–2550)</w:t>
      </w:r>
    </w:p>
    <w:p w:rsidR="001D077D" w:rsidRPr="001D077D" w:rsidRDefault="001D077D" w:rsidP="005B28C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resposta à instabilidade crônica, ocorreu </w:t>
      </w: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centralização progressiva do poder operacional em cinco conglomerados multinacionais, responsáveis por:</w:t>
      </w:r>
    </w:p>
    <w:p w:rsidR="001D077D" w:rsidRPr="001D077D" w:rsidRDefault="001D077D" w:rsidP="005B28C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recursos;</w:t>
      </w:r>
    </w:p>
    <w:p w:rsidR="001D077D" w:rsidRPr="001D077D" w:rsidRDefault="001D077D" w:rsidP="001D0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informação;</w:t>
      </w:r>
    </w:p>
    <w:p w:rsidR="001D077D" w:rsidRPr="001D077D" w:rsidRDefault="001D077D" w:rsidP="001D0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logística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planetária;</w:t>
      </w:r>
    </w:p>
    <w:p w:rsidR="001D077D" w:rsidRPr="001D077D" w:rsidRDefault="001D077D" w:rsidP="001D0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biotecnologia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saúde;</w:t>
      </w:r>
    </w:p>
    <w:p w:rsidR="001D077D" w:rsidRPr="001D077D" w:rsidRDefault="001D077D" w:rsidP="005B28CE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infraestrutura.</w:t>
      </w:r>
    </w:p>
    <w:p w:rsidR="001D077D" w:rsidRPr="001D077D" w:rsidRDefault="001D077D" w:rsidP="00A50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entidades estabeleceram mecanismos de coordenação mútua, evitando competição sistêmica destrutiva.</w:t>
      </w:r>
    </w:p>
    <w:p w:rsidR="001D077D" w:rsidRPr="001D077D" w:rsidRDefault="001D077D" w:rsidP="00A5007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ficou conhecido como </w:t>
      </w:r>
      <w:r w:rsidRPr="00A5007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Consenso Corporativo Global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AF5A09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lastRenderedPageBreak/>
        <w:t>8. Sétima Fase — E</w:t>
      </w:r>
      <w:bookmarkStart w:id="0" w:name="_GoBack"/>
      <w:bookmarkEnd w:id="0"/>
      <w:r w:rsidRPr="00AF5A09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strutura de Governança em 2640</w:t>
      </w:r>
    </w:p>
    <w:p w:rsidR="001D077D" w:rsidRPr="001D077D" w:rsidRDefault="001D077D" w:rsidP="00AF5A0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No ano de 2640, a governança planetária apresenta as seguintes características:</w:t>
      </w:r>
    </w:p>
    <w:p w:rsidR="001D077D" w:rsidRPr="001D077D" w:rsidRDefault="001D077D" w:rsidP="00AF5A09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inexistência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soberania estatal efetiva;</w:t>
      </w:r>
    </w:p>
    <w:p w:rsidR="001D077D" w:rsidRPr="001D077D" w:rsidRDefault="001D077D" w:rsidP="00016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jurisdições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definidas por afiliação corporativa;</w:t>
      </w:r>
    </w:p>
    <w:p w:rsidR="001D077D" w:rsidRPr="001D077D" w:rsidRDefault="001D077D" w:rsidP="001D07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direitos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deveres regulados por contratos sistêmicos;</w:t>
      </w:r>
    </w:p>
    <w:p w:rsidR="001D077D" w:rsidRPr="001D077D" w:rsidRDefault="001D077D" w:rsidP="00C218F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informação</w:t>
      </w:r>
      <w:proofErr w:type="gramEnd"/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distribuída conforme critérios de estabilidade e eficiência.</w:t>
      </w:r>
    </w:p>
    <w:p w:rsidR="001D077D" w:rsidRPr="001D077D" w:rsidRDefault="001D077D" w:rsidP="00C218F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 população global é integrada aos sistemas por meio de acesso funcional, não por cidadania política.</w:t>
      </w:r>
    </w:p>
    <w:p w:rsidR="001D077D" w:rsidRPr="001D077D" w:rsidRDefault="001D077D" w:rsidP="001D0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</w:pPr>
      <w:r w:rsidRPr="00C218FE">
        <w:rPr>
          <w:rFonts w:ascii="Times New Roman" w:eastAsia="Times New Roman" w:hAnsi="Times New Roman" w:cs="Times New Roman"/>
          <w:bCs/>
          <w:sz w:val="28"/>
          <w:szCs w:val="28"/>
          <w:lang w:eastAsia="pt-BR"/>
        </w:rPr>
        <w:t>9. Considerações Finais</w:t>
      </w:r>
    </w:p>
    <w:p w:rsidR="001D077D" w:rsidRPr="001D077D" w:rsidRDefault="001D077D" w:rsidP="00016C2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A transição para a governança corporativa global não resultou de tomada violenta de poder ou conspiração centralizada, mas de um processo cumulativo de falhas estruturais dos sistemas estatais frente à complexidade planetária.</w:t>
      </w:r>
    </w:p>
    <w:p w:rsidR="001D077D" w:rsidRPr="001D077D" w:rsidRDefault="001D077D" w:rsidP="00016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O poder permaneceu onde a capacidade operacional foi preservada.</w:t>
      </w:r>
    </w:p>
    <w:p w:rsidR="001D077D" w:rsidRPr="001D077D" w:rsidRDefault="001D077D" w:rsidP="00016C2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t>Este relatório encerra-se como registro histórico padronizado, sem recomendação normativa adicional.</w:t>
      </w:r>
    </w:p>
    <w:p w:rsidR="001D077D" w:rsidRPr="001D077D" w:rsidRDefault="001D077D" w:rsidP="001D0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6C2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Encerramento oficial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16C2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Arquivo validado pelo Conselho de Continuidade Sistêmica</w:t>
      </w:r>
      <w:r w:rsidRPr="001D07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16C2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Ano 2640</w:t>
      </w:r>
    </w:p>
    <w:sectPr w:rsidR="001D077D" w:rsidRPr="001D077D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5A5" w:rsidRDefault="002F75A5" w:rsidP="001E2640">
      <w:pPr>
        <w:spacing w:after="0" w:line="240" w:lineRule="auto"/>
      </w:pPr>
      <w:r>
        <w:separator/>
      </w:r>
    </w:p>
  </w:endnote>
  <w:endnote w:type="continuationSeparator" w:id="0">
    <w:p w:rsidR="002F75A5" w:rsidRDefault="002F75A5" w:rsidP="001E2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2904507"/>
      <w:docPartObj>
        <w:docPartGallery w:val="Page Numbers (Bottom of Page)"/>
        <w:docPartUnique/>
      </w:docPartObj>
    </w:sdtPr>
    <w:sdtContent>
      <w:p w:rsidR="001E2640" w:rsidRDefault="001E264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1E2640" w:rsidRDefault="001E26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5A5" w:rsidRDefault="002F75A5" w:rsidP="001E2640">
      <w:pPr>
        <w:spacing w:after="0" w:line="240" w:lineRule="auto"/>
      </w:pPr>
      <w:r>
        <w:separator/>
      </w:r>
    </w:p>
  </w:footnote>
  <w:footnote w:type="continuationSeparator" w:id="0">
    <w:p w:rsidR="002F75A5" w:rsidRDefault="002F75A5" w:rsidP="001E2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A7AB9"/>
    <w:multiLevelType w:val="multilevel"/>
    <w:tmpl w:val="B2A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271CEE"/>
    <w:multiLevelType w:val="multilevel"/>
    <w:tmpl w:val="18B0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0875F8"/>
    <w:multiLevelType w:val="multilevel"/>
    <w:tmpl w:val="0EC4B8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4C4E03A8"/>
    <w:multiLevelType w:val="multilevel"/>
    <w:tmpl w:val="E1E806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4F5705CC"/>
    <w:multiLevelType w:val="multilevel"/>
    <w:tmpl w:val="40242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6DE11ED3"/>
    <w:multiLevelType w:val="multilevel"/>
    <w:tmpl w:val="600E79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71EB11EC"/>
    <w:multiLevelType w:val="multilevel"/>
    <w:tmpl w:val="9C6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EA41FA"/>
    <w:multiLevelType w:val="multilevel"/>
    <w:tmpl w:val="C90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77D"/>
    <w:rsid w:val="00016C20"/>
    <w:rsid w:val="0010013B"/>
    <w:rsid w:val="00173DBF"/>
    <w:rsid w:val="001D077D"/>
    <w:rsid w:val="001E2640"/>
    <w:rsid w:val="00272F2B"/>
    <w:rsid w:val="002F75A5"/>
    <w:rsid w:val="00422C17"/>
    <w:rsid w:val="00457A5E"/>
    <w:rsid w:val="004A3645"/>
    <w:rsid w:val="005B28CE"/>
    <w:rsid w:val="005F34D4"/>
    <w:rsid w:val="00600E85"/>
    <w:rsid w:val="006678CC"/>
    <w:rsid w:val="008327DE"/>
    <w:rsid w:val="008E14B0"/>
    <w:rsid w:val="009679BB"/>
    <w:rsid w:val="00A50073"/>
    <w:rsid w:val="00AF5A09"/>
    <w:rsid w:val="00C014B4"/>
    <w:rsid w:val="00C109AD"/>
    <w:rsid w:val="00C218FE"/>
    <w:rsid w:val="00CE645E"/>
    <w:rsid w:val="00EB39C5"/>
    <w:rsid w:val="00FD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D07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D07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077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D077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D0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D077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E2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2640"/>
  </w:style>
  <w:style w:type="paragraph" w:styleId="Rodap">
    <w:name w:val="footer"/>
    <w:basedOn w:val="Normal"/>
    <w:link w:val="RodapChar"/>
    <w:uiPriority w:val="99"/>
    <w:unhideWhenUsed/>
    <w:rsid w:val="001E2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26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D07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D07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077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D077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D0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D077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E2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2640"/>
  </w:style>
  <w:style w:type="paragraph" w:styleId="Rodap">
    <w:name w:val="footer"/>
    <w:basedOn w:val="Normal"/>
    <w:link w:val="RodapChar"/>
    <w:uiPriority w:val="99"/>
    <w:unhideWhenUsed/>
    <w:rsid w:val="001E26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9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743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Alexandre</cp:lastModifiedBy>
  <cp:revision>22</cp:revision>
  <cp:lastPrinted>2025-12-13T23:50:00Z</cp:lastPrinted>
  <dcterms:created xsi:type="dcterms:W3CDTF">2025-12-13T23:34:00Z</dcterms:created>
  <dcterms:modified xsi:type="dcterms:W3CDTF">2025-12-13T23:56:00Z</dcterms:modified>
</cp:coreProperties>
</file>