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D0D3E4D" w14:textId="77777777" w:rsidR="003B7FBE" w:rsidRDefault="00AE3682">
      <w:pPr>
        <w:keepNext/>
        <w:keepLines/>
        <w:pBdr>
          <w:top w:val="nil"/>
          <w:left w:val="nil"/>
          <w:bottom w:val="nil"/>
          <w:right w:val="nil"/>
          <w:between w:val="nil"/>
        </w:pBdr>
        <w:jc w:val="both"/>
        <w:rPr>
          <w:rFonts w:ascii="Times New Roman" w:eastAsia="Times New Roman" w:hAnsi="Times New Roman" w:cs="Times New Roman"/>
          <w:b/>
          <w:color w:val="000000"/>
          <w:sz w:val="24"/>
          <w:szCs w:val="24"/>
        </w:rPr>
      </w:pPr>
      <w:bookmarkStart w:id="0" w:name="_539bnzkrp8zl" w:colFirst="0" w:colLast="0"/>
      <w:bookmarkEnd w:id="0"/>
      <w:r>
        <w:rPr>
          <w:rFonts w:ascii="Times New Roman" w:eastAsia="Times New Roman" w:hAnsi="Times New Roman" w:cs="Times New Roman"/>
          <w:b/>
          <w:color w:val="000000"/>
          <w:sz w:val="24"/>
          <w:szCs w:val="24"/>
        </w:rPr>
        <w:t>SUMÁRIO</w:t>
      </w:r>
    </w:p>
    <w:p w14:paraId="2D0D3E4E" w14:textId="77777777" w:rsidR="003B7FBE" w:rsidRDefault="003B7FBE">
      <w:pPr>
        <w:keepNext/>
        <w:keepLines/>
        <w:pBdr>
          <w:top w:val="nil"/>
          <w:left w:val="nil"/>
          <w:bottom w:val="nil"/>
          <w:right w:val="nil"/>
          <w:between w:val="nil"/>
        </w:pBdr>
        <w:spacing w:before="240" w:line="259" w:lineRule="auto"/>
        <w:jc w:val="both"/>
        <w:rPr>
          <w:rFonts w:ascii="Times New Roman" w:eastAsia="Times New Roman" w:hAnsi="Times New Roman" w:cs="Times New Roman"/>
          <w:color w:val="366091"/>
          <w:sz w:val="24"/>
          <w:szCs w:val="24"/>
        </w:rPr>
      </w:pPr>
    </w:p>
    <w:sdt>
      <w:sdtPr>
        <w:id w:val="1470248903"/>
        <w:docPartObj>
          <w:docPartGallery w:val="Table of Contents"/>
          <w:docPartUnique/>
        </w:docPartObj>
      </w:sdtPr>
      <w:sdtContent>
        <w:p w14:paraId="2D0D3E4F" w14:textId="77777777" w:rsidR="003B7FBE" w:rsidRDefault="00AE3682">
          <w:pPr>
            <w:widowControl w:val="0"/>
            <w:tabs>
              <w:tab w:val="right" w:pos="12000"/>
            </w:tabs>
            <w:spacing w:before="60" w:line="240" w:lineRule="auto"/>
            <w:rPr>
              <w:b/>
              <w:color w:val="000000"/>
            </w:rPr>
          </w:pPr>
          <w:r>
            <w:fldChar w:fldCharType="begin"/>
          </w:r>
          <w:r>
            <w:instrText xml:space="preserve"> TOC \h \u \z \t "Heading 1,1,Heading 2,2,Heading 3,3,"</w:instrText>
          </w:r>
          <w:r>
            <w:fldChar w:fldCharType="separate"/>
          </w:r>
          <w:hyperlink w:anchor="_vp15diitc53i">
            <w:r>
              <w:rPr>
                <w:rFonts w:ascii="Times New Roman" w:eastAsia="Times New Roman" w:hAnsi="Times New Roman" w:cs="Times New Roman"/>
                <w:b/>
                <w:color w:val="000000"/>
                <w:sz w:val="24"/>
                <w:szCs w:val="24"/>
              </w:rPr>
              <w:t>INTRODUÇÃO</w:t>
            </w:r>
            <w:r>
              <w:rPr>
                <w:rFonts w:ascii="Times New Roman" w:eastAsia="Times New Roman" w:hAnsi="Times New Roman" w:cs="Times New Roman"/>
                <w:b/>
                <w:color w:val="000000"/>
                <w:sz w:val="24"/>
                <w:szCs w:val="24"/>
              </w:rPr>
              <w:tab/>
              <w:t>1</w:t>
            </w:r>
          </w:hyperlink>
        </w:p>
        <w:p w14:paraId="2D0D3E50" w14:textId="77777777" w:rsidR="003B7FBE" w:rsidRDefault="00AE3682">
          <w:pPr>
            <w:widowControl w:val="0"/>
            <w:tabs>
              <w:tab w:val="right" w:pos="12000"/>
            </w:tabs>
            <w:spacing w:before="60" w:line="240" w:lineRule="auto"/>
            <w:ind w:left="360"/>
            <w:rPr>
              <w:color w:val="000000"/>
            </w:rPr>
          </w:pPr>
          <w:hyperlink w:anchor="_cegvfz90ape9">
            <w:r>
              <w:rPr>
                <w:rFonts w:ascii="Times New Roman" w:eastAsia="Times New Roman" w:hAnsi="Times New Roman" w:cs="Times New Roman"/>
                <w:color w:val="000000"/>
                <w:sz w:val="24"/>
                <w:szCs w:val="24"/>
              </w:rPr>
              <w:t>1. Contexto</w:t>
            </w:r>
            <w:r>
              <w:rPr>
                <w:rFonts w:ascii="Times New Roman" w:eastAsia="Times New Roman" w:hAnsi="Times New Roman" w:cs="Times New Roman"/>
                <w:color w:val="000000"/>
                <w:sz w:val="24"/>
                <w:szCs w:val="24"/>
              </w:rPr>
              <w:tab/>
              <w:t>1</w:t>
            </w:r>
          </w:hyperlink>
        </w:p>
        <w:p w14:paraId="2D0D3E51" w14:textId="77777777" w:rsidR="003B7FBE" w:rsidRDefault="00AE3682">
          <w:pPr>
            <w:widowControl w:val="0"/>
            <w:tabs>
              <w:tab w:val="right" w:pos="12000"/>
            </w:tabs>
            <w:spacing w:before="60" w:line="240" w:lineRule="auto"/>
            <w:ind w:left="360"/>
            <w:rPr>
              <w:color w:val="000000"/>
            </w:rPr>
          </w:pPr>
          <w:hyperlink w:anchor="_axyxiafib09v">
            <w:r>
              <w:rPr>
                <w:rFonts w:ascii="Times New Roman" w:eastAsia="Times New Roman" w:hAnsi="Times New Roman" w:cs="Times New Roman"/>
                <w:color w:val="000000"/>
                <w:sz w:val="24"/>
                <w:szCs w:val="24"/>
              </w:rPr>
              <w:t>2. Problema de Pesquisa</w:t>
            </w:r>
            <w:r>
              <w:rPr>
                <w:rFonts w:ascii="Times New Roman" w:eastAsia="Times New Roman" w:hAnsi="Times New Roman" w:cs="Times New Roman"/>
                <w:color w:val="000000"/>
                <w:sz w:val="24"/>
                <w:szCs w:val="24"/>
              </w:rPr>
              <w:tab/>
              <w:t>3</w:t>
            </w:r>
          </w:hyperlink>
        </w:p>
        <w:p w14:paraId="2D0D3E52" w14:textId="77777777" w:rsidR="003B7FBE" w:rsidRDefault="00AE3682">
          <w:pPr>
            <w:widowControl w:val="0"/>
            <w:tabs>
              <w:tab w:val="right" w:pos="12000"/>
            </w:tabs>
            <w:spacing w:before="60" w:line="240" w:lineRule="auto"/>
            <w:ind w:left="360"/>
            <w:rPr>
              <w:color w:val="000000"/>
            </w:rPr>
          </w:pPr>
          <w:hyperlink w:anchor="_ogroadezj44c">
            <w:r>
              <w:rPr>
                <w:rFonts w:ascii="Times New Roman" w:eastAsia="Times New Roman" w:hAnsi="Times New Roman" w:cs="Times New Roman"/>
                <w:color w:val="000000"/>
                <w:sz w:val="24"/>
                <w:szCs w:val="24"/>
              </w:rPr>
              <w:t>3. Significância do Estudo</w:t>
            </w:r>
            <w:r>
              <w:rPr>
                <w:rFonts w:ascii="Times New Roman" w:eastAsia="Times New Roman" w:hAnsi="Times New Roman" w:cs="Times New Roman"/>
                <w:color w:val="000000"/>
                <w:sz w:val="24"/>
                <w:szCs w:val="24"/>
              </w:rPr>
              <w:tab/>
              <w:t>4</w:t>
            </w:r>
          </w:hyperlink>
        </w:p>
        <w:p w14:paraId="2D0D3E53" w14:textId="77777777" w:rsidR="003B7FBE" w:rsidRDefault="00AE3682">
          <w:pPr>
            <w:widowControl w:val="0"/>
            <w:tabs>
              <w:tab w:val="right" w:pos="12000"/>
            </w:tabs>
            <w:spacing w:before="60" w:line="240" w:lineRule="auto"/>
            <w:ind w:left="360"/>
            <w:rPr>
              <w:color w:val="000000"/>
            </w:rPr>
          </w:pPr>
          <w:hyperlink w:anchor="_f32y5qm5ep2a">
            <w:r>
              <w:rPr>
                <w:rFonts w:ascii="Times New Roman" w:eastAsia="Times New Roman" w:hAnsi="Times New Roman" w:cs="Times New Roman"/>
                <w:color w:val="000000"/>
                <w:sz w:val="24"/>
                <w:szCs w:val="24"/>
              </w:rPr>
              <w:t>4. Perguntas da Pesquisa</w:t>
            </w:r>
            <w:r>
              <w:rPr>
                <w:rFonts w:ascii="Times New Roman" w:eastAsia="Times New Roman" w:hAnsi="Times New Roman" w:cs="Times New Roman"/>
                <w:color w:val="000000"/>
                <w:sz w:val="24"/>
                <w:szCs w:val="24"/>
              </w:rPr>
              <w:tab/>
              <w:t>5</w:t>
            </w:r>
          </w:hyperlink>
        </w:p>
        <w:p w14:paraId="2D0D3E54" w14:textId="77777777" w:rsidR="003B7FBE" w:rsidRDefault="00AE3682">
          <w:pPr>
            <w:widowControl w:val="0"/>
            <w:tabs>
              <w:tab w:val="right" w:pos="12000"/>
            </w:tabs>
            <w:spacing w:before="60" w:line="240" w:lineRule="auto"/>
            <w:ind w:left="360"/>
            <w:rPr>
              <w:color w:val="000000"/>
            </w:rPr>
          </w:pPr>
          <w:hyperlink w:anchor="_gfvg8inrrvko">
            <w:r>
              <w:rPr>
                <w:rFonts w:ascii="Times New Roman" w:eastAsia="Times New Roman" w:hAnsi="Times New Roman" w:cs="Times New Roman"/>
                <w:color w:val="000000"/>
                <w:sz w:val="24"/>
                <w:szCs w:val="24"/>
              </w:rPr>
              <w:t>5. Objetivos</w:t>
            </w:r>
            <w:r>
              <w:rPr>
                <w:rFonts w:ascii="Times New Roman" w:eastAsia="Times New Roman" w:hAnsi="Times New Roman" w:cs="Times New Roman"/>
                <w:color w:val="000000"/>
                <w:sz w:val="24"/>
                <w:szCs w:val="24"/>
              </w:rPr>
              <w:tab/>
              <w:t>6</w:t>
            </w:r>
          </w:hyperlink>
        </w:p>
        <w:p w14:paraId="2D0D3E55" w14:textId="77777777" w:rsidR="003B7FBE" w:rsidRDefault="00AE3682">
          <w:pPr>
            <w:widowControl w:val="0"/>
            <w:tabs>
              <w:tab w:val="right" w:pos="12000"/>
            </w:tabs>
            <w:spacing w:before="60" w:line="240" w:lineRule="auto"/>
            <w:ind w:left="360"/>
            <w:rPr>
              <w:color w:val="000000"/>
            </w:rPr>
          </w:pPr>
          <w:hyperlink w:anchor="_cx4ekaekf09b">
            <w:r>
              <w:rPr>
                <w:rFonts w:ascii="Times New Roman" w:eastAsia="Times New Roman" w:hAnsi="Times New Roman" w:cs="Times New Roman"/>
                <w:color w:val="000000"/>
                <w:sz w:val="24"/>
                <w:szCs w:val="24"/>
              </w:rPr>
              <w:t>6. Declaração da Tese</w:t>
            </w:r>
            <w:r>
              <w:rPr>
                <w:rFonts w:ascii="Times New Roman" w:eastAsia="Times New Roman" w:hAnsi="Times New Roman" w:cs="Times New Roman"/>
                <w:color w:val="000000"/>
                <w:sz w:val="24"/>
                <w:szCs w:val="24"/>
              </w:rPr>
              <w:tab/>
              <w:t>7</w:t>
            </w:r>
          </w:hyperlink>
        </w:p>
        <w:p w14:paraId="2D0D3E56" w14:textId="77777777" w:rsidR="003B7FBE" w:rsidRDefault="00AE3682">
          <w:pPr>
            <w:widowControl w:val="0"/>
            <w:tabs>
              <w:tab w:val="right" w:pos="12000"/>
            </w:tabs>
            <w:spacing w:before="60" w:line="240" w:lineRule="auto"/>
            <w:ind w:left="360"/>
            <w:rPr>
              <w:color w:val="000000"/>
            </w:rPr>
          </w:pPr>
          <w:hyperlink w:anchor="_nefyzm1zjtwh">
            <w:r>
              <w:rPr>
                <w:rFonts w:ascii="Times New Roman" w:eastAsia="Times New Roman" w:hAnsi="Times New Roman" w:cs="Times New Roman"/>
                <w:color w:val="000000"/>
                <w:sz w:val="24"/>
                <w:szCs w:val="24"/>
              </w:rPr>
              <w:t>7. Referencial Teórico</w:t>
            </w:r>
            <w:r>
              <w:rPr>
                <w:rFonts w:ascii="Times New Roman" w:eastAsia="Times New Roman" w:hAnsi="Times New Roman" w:cs="Times New Roman"/>
                <w:color w:val="000000"/>
                <w:sz w:val="24"/>
                <w:szCs w:val="24"/>
              </w:rPr>
              <w:tab/>
              <w:t>7</w:t>
            </w:r>
          </w:hyperlink>
        </w:p>
        <w:p w14:paraId="2D0D3E57" w14:textId="77777777" w:rsidR="003B7FBE" w:rsidRDefault="00AE3682">
          <w:pPr>
            <w:widowControl w:val="0"/>
            <w:tabs>
              <w:tab w:val="right" w:pos="12000"/>
            </w:tabs>
            <w:spacing w:before="60" w:line="240" w:lineRule="auto"/>
            <w:rPr>
              <w:b/>
              <w:color w:val="000000"/>
            </w:rPr>
          </w:pPr>
          <w:hyperlink w:anchor="_ssi6qpj2k9ry">
            <w:r>
              <w:rPr>
                <w:rFonts w:ascii="Times New Roman" w:eastAsia="Times New Roman" w:hAnsi="Times New Roman" w:cs="Times New Roman"/>
                <w:b/>
                <w:color w:val="000000"/>
                <w:sz w:val="24"/>
                <w:szCs w:val="24"/>
              </w:rPr>
              <w:t>METODOLOGIA</w:t>
            </w:r>
            <w:r>
              <w:rPr>
                <w:rFonts w:ascii="Times New Roman" w:eastAsia="Times New Roman" w:hAnsi="Times New Roman" w:cs="Times New Roman"/>
                <w:b/>
                <w:color w:val="000000"/>
                <w:sz w:val="24"/>
                <w:szCs w:val="24"/>
              </w:rPr>
              <w:tab/>
              <w:t>10</w:t>
            </w:r>
          </w:hyperlink>
        </w:p>
        <w:p w14:paraId="2D0D3E58" w14:textId="77777777" w:rsidR="003B7FBE" w:rsidRDefault="00AE3682">
          <w:pPr>
            <w:widowControl w:val="0"/>
            <w:tabs>
              <w:tab w:val="right" w:pos="12000"/>
            </w:tabs>
            <w:spacing w:before="60" w:line="240" w:lineRule="auto"/>
            <w:ind w:left="360"/>
            <w:rPr>
              <w:color w:val="000000"/>
            </w:rPr>
          </w:pPr>
          <w:hyperlink w:anchor="_j0rt37johuwp">
            <w:r>
              <w:rPr>
                <w:rFonts w:ascii="Times New Roman" w:eastAsia="Times New Roman" w:hAnsi="Times New Roman" w:cs="Times New Roman"/>
                <w:color w:val="000000"/>
                <w:sz w:val="24"/>
                <w:szCs w:val="24"/>
              </w:rPr>
              <w:t>8. Projeto de pesquisa</w:t>
            </w:r>
            <w:r>
              <w:rPr>
                <w:rFonts w:ascii="Times New Roman" w:eastAsia="Times New Roman" w:hAnsi="Times New Roman" w:cs="Times New Roman"/>
                <w:color w:val="000000"/>
                <w:sz w:val="24"/>
                <w:szCs w:val="24"/>
              </w:rPr>
              <w:tab/>
              <w:t>10</w:t>
            </w:r>
          </w:hyperlink>
        </w:p>
        <w:p w14:paraId="2D0D3E59" w14:textId="77777777" w:rsidR="003B7FBE" w:rsidRDefault="00AE3682">
          <w:pPr>
            <w:widowControl w:val="0"/>
            <w:tabs>
              <w:tab w:val="right" w:pos="12000"/>
            </w:tabs>
            <w:spacing w:before="60" w:line="240" w:lineRule="auto"/>
            <w:ind w:left="360"/>
            <w:rPr>
              <w:color w:val="000000"/>
            </w:rPr>
          </w:pPr>
          <w:hyperlink w:anchor="_e5yt2tuxtfc">
            <w:r>
              <w:rPr>
                <w:rFonts w:ascii="Times New Roman" w:eastAsia="Times New Roman" w:hAnsi="Times New Roman" w:cs="Times New Roman"/>
                <w:color w:val="000000"/>
                <w:sz w:val="24"/>
                <w:szCs w:val="24"/>
              </w:rPr>
              <w:t>9. Métodos de coleta de dados</w:t>
            </w:r>
            <w:r>
              <w:rPr>
                <w:rFonts w:ascii="Times New Roman" w:eastAsia="Times New Roman" w:hAnsi="Times New Roman" w:cs="Times New Roman"/>
                <w:color w:val="000000"/>
                <w:sz w:val="24"/>
                <w:szCs w:val="24"/>
              </w:rPr>
              <w:tab/>
              <w:t>10</w:t>
            </w:r>
          </w:hyperlink>
        </w:p>
        <w:p w14:paraId="2D0D3E5A" w14:textId="77777777" w:rsidR="003B7FBE" w:rsidRDefault="00AE3682">
          <w:pPr>
            <w:widowControl w:val="0"/>
            <w:tabs>
              <w:tab w:val="right" w:pos="12000"/>
            </w:tabs>
            <w:spacing w:before="60" w:line="240" w:lineRule="auto"/>
            <w:ind w:left="360"/>
            <w:rPr>
              <w:color w:val="000000"/>
            </w:rPr>
          </w:pPr>
          <w:hyperlink w:anchor="_y0pw86aqss7n">
            <w:r>
              <w:rPr>
                <w:rFonts w:ascii="Times New Roman" w:eastAsia="Times New Roman" w:hAnsi="Times New Roman" w:cs="Times New Roman"/>
                <w:color w:val="000000"/>
                <w:sz w:val="24"/>
                <w:szCs w:val="24"/>
              </w:rPr>
              <w:t>10. Abordagem analítica</w:t>
            </w:r>
            <w:r>
              <w:rPr>
                <w:rFonts w:ascii="Times New Roman" w:eastAsia="Times New Roman" w:hAnsi="Times New Roman" w:cs="Times New Roman"/>
                <w:color w:val="000000"/>
                <w:sz w:val="24"/>
                <w:szCs w:val="24"/>
              </w:rPr>
              <w:tab/>
              <w:t>10</w:t>
            </w:r>
          </w:hyperlink>
        </w:p>
        <w:p w14:paraId="2D0D3E5B" w14:textId="77777777" w:rsidR="003B7FBE" w:rsidRDefault="00AE3682">
          <w:pPr>
            <w:widowControl w:val="0"/>
            <w:tabs>
              <w:tab w:val="right" w:pos="12000"/>
            </w:tabs>
            <w:spacing w:before="60" w:line="240" w:lineRule="auto"/>
            <w:rPr>
              <w:b/>
              <w:color w:val="000000"/>
            </w:rPr>
          </w:pPr>
          <w:hyperlink w:anchor="_3gwm5hggoqz4">
            <w:r>
              <w:rPr>
                <w:rFonts w:ascii="Times New Roman" w:eastAsia="Times New Roman" w:hAnsi="Times New Roman" w:cs="Times New Roman"/>
                <w:b/>
                <w:color w:val="000000"/>
                <w:sz w:val="24"/>
                <w:szCs w:val="24"/>
              </w:rPr>
              <w:t>RESULTADOS E ANÁLISES</w:t>
            </w:r>
            <w:r>
              <w:rPr>
                <w:rFonts w:ascii="Times New Roman" w:eastAsia="Times New Roman" w:hAnsi="Times New Roman" w:cs="Times New Roman"/>
                <w:b/>
                <w:color w:val="000000"/>
                <w:sz w:val="24"/>
                <w:szCs w:val="24"/>
              </w:rPr>
              <w:tab/>
              <w:t>11</w:t>
            </w:r>
          </w:hyperlink>
        </w:p>
        <w:p w14:paraId="2D0D3E5C" w14:textId="77777777" w:rsidR="003B7FBE" w:rsidRDefault="00AE3682">
          <w:pPr>
            <w:widowControl w:val="0"/>
            <w:tabs>
              <w:tab w:val="right" w:pos="12000"/>
            </w:tabs>
            <w:spacing w:before="60" w:line="240" w:lineRule="auto"/>
            <w:ind w:left="360"/>
            <w:rPr>
              <w:color w:val="000000"/>
            </w:rPr>
          </w:pPr>
          <w:hyperlink w:anchor="_jitcuzfv45v4">
            <w:r>
              <w:rPr>
                <w:rFonts w:ascii="Times New Roman" w:eastAsia="Times New Roman" w:hAnsi="Times New Roman" w:cs="Times New Roman"/>
                <w:color w:val="000000"/>
                <w:sz w:val="24"/>
                <w:szCs w:val="24"/>
              </w:rPr>
              <w:t>11. Apresentação dos dados</w:t>
            </w:r>
            <w:r>
              <w:rPr>
                <w:rFonts w:ascii="Times New Roman" w:eastAsia="Times New Roman" w:hAnsi="Times New Roman" w:cs="Times New Roman"/>
                <w:color w:val="000000"/>
                <w:sz w:val="24"/>
                <w:szCs w:val="24"/>
              </w:rPr>
              <w:tab/>
              <w:t>11</w:t>
            </w:r>
          </w:hyperlink>
        </w:p>
        <w:p w14:paraId="2D0D3E5D" w14:textId="77777777" w:rsidR="003B7FBE" w:rsidRDefault="00AE3682">
          <w:pPr>
            <w:widowControl w:val="0"/>
            <w:tabs>
              <w:tab w:val="right" w:pos="12000"/>
            </w:tabs>
            <w:spacing w:before="60" w:line="240" w:lineRule="auto"/>
            <w:ind w:left="360"/>
            <w:rPr>
              <w:color w:val="000000"/>
            </w:rPr>
          </w:pPr>
          <w:hyperlink w:anchor="_3m13tb8aieyo">
            <w:r>
              <w:rPr>
                <w:rFonts w:ascii="Times New Roman" w:eastAsia="Times New Roman" w:hAnsi="Times New Roman" w:cs="Times New Roman"/>
                <w:color w:val="000000"/>
                <w:sz w:val="24"/>
                <w:szCs w:val="24"/>
              </w:rPr>
              <w:t>12. Principais conclusões</w:t>
            </w:r>
            <w:r>
              <w:rPr>
                <w:rFonts w:ascii="Times New Roman" w:eastAsia="Times New Roman" w:hAnsi="Times New Roman" w:cs="Times New Roman"/>
                <w:color w:val="000000"/>
                <w:sz w:val="24"/>
                <w:szCs w:val="24"/>
              </w:rPr>
              <w:tab/>
              <w:t>11</w:t>
            </w:r>
          </w:hyperlink>
        </w:p>
        <w:p w14:paraId="2D0D3E5E" w14:textId="77777777" w:rsidR="003B7FBE" w:rsidRDefault="00AE3682">
          <w:pPr>
            <w:widowControl w:val="0"/>
            <w:tabs>
              <w:tab w:val="right" w:pos="12000"/>
            </w:tabs>
            <w:spacing w:before="60" w:line="240" w:lineRule="auto"/>
            <w:ind w:left="360"/>
            <w:rPr>
              <w:color w:val="000000"/>
            </w:rPr>
          </w:pPr>
          <w:hyperlink w:anchor="_sqzb2mad53ha">
            <w:r>
              <w:rPr>
                <w:rFonts w:ascii="Times New Roman" w:eastAsia="Times New Roman" w:hAnsi="Times New Roman" w:cs="Times New Roman"/>
                <w:color w:val="000000"/>
                <w:sz w:val="24"/>
                <w:szCs w:val="24"/>
              </w:rPr>
              <w:t>13. Análise estatística</w:t>
            </w:r>
            <w:r>
              <w:rPr>
                <w:rFonts w:ascii="Times New Roman" w:eastAsia="Times New Roman" w:hAnsi="Times New Roman" w:cs="Times New Roman"/>
                <w:color w:val="000000"/>
                <w:sz w:val="24"/>
                <w:szCs w:val="24"/>
              </w:rPr>
              <w:tab/>
              <w:t>12</w:t>
            </w:r>
          </w:hyperlink>
        </w:p>
        <w:p w14:paraId="2D0D3E5F" w14:textId="77777777" w:rsidR="003B7FBE" w:rsidRDefault="00AE3682">
          <w:pPr>
            <w:widowControl w:val="0"/>
            <w:tabs>
              <w:tab w:val="right" w:pos="12000"/>
            </w:tabs>
            <w:spacing w:before="60" w:line="240" w:lineRule="auto"/>
            <w:ind w:left="360"/>
            <w:rPr>
              <w:color w:val="000000"/>
            </w:rPr>
          </w:pPr>
          <w:hyperlink w:anchor="_sye1t3pxe63f">
            <w:r>
              <w:rPr>
                <w:rFonts w:ascii="Times New Roman" w:eastAsia="Times New Roman" w:hAnsi="Times New Roman" w:cs="Times New Roman"/>
                <w:color w:val="000000"/>
                <w:sz w:val="24"/>
                <w:szCs w:val="24"/>
              </w:rPr>
              <w:t>14. Interpretação dos resultados</w:t>
            </w:r>
            <w:r>
              <w:rPr>
                <w:rFonts w:ascii="Times New Roman" w:eastAsia="Times New Roman" w:hAnsi="Times New Roman" w:cs="Times New Roman"/>
                <w:color w:val="000000"/>
                <w:sz w:val="24"/>
                <w:szCs w:val="24"/>
              </w:rPr>
              <w:tab/>
              <w:t>12</w:t>
            </w:r>
          </w:hyperlink>
        </w:p>
        <w:p w14:paraId="2D0D3E60" w14:textId="77777777" w:rsidR="003B7FBE" w:rsidRDefault="00AE3682">
          <w:pPr>
            <w:widowControl w:val="0"/>
            <w:tabs>
              <w:tab w:val="right" w:pos="12000"/>
            </w:tabs>
            <w:spacing w:before="60" w:line="240" w:lineRule="auto"/>
            <w:rPr>
              <w:b/>
              <w:color w:val="000000"/>
            </w:rPr>
          </w:pPr>
          <w:hyperlink w:anchor="_9munosc7f5i3">
            <w:r>
              <w:rPr>
                <w:rFonts w:ascii="Times New Roman" w:eastAsia="Times New Roman" w:hAnsi="Times New Roman" w:cs="Times New Roman"/>
                <w:b/>
                <w:color w:val="000000"/>
                <w:sz w:val="24"/>
                <w:szCs w:val="24"/>
              </w:rPr>
              <w:t>DISCUSSÃO</w:t>
            </w:r>
            <w:r>
              <w:rPr>
                <w:rFonts w:ascii="Times New Roman" w:eastAsia="Times New Roman" w:hAnsi="Times New Roman" w:cs="Times New Roman"/>
                <w:b/>
                <w:color w:val="000000"/>
                <w:sz w:val="24"/>
                <w:szCs w:val="24"/>
              </w:rPr>
              <w:tab/>
              <w:t>12</w:t>
            </w:r>
          </w:hyperlink>
        </w:p>
        <w:p w14:paraId="2D0D3E61" w14:textId="77777777" w:rsidR="003B7FBE" w:rsidRDefault="00AE3682">
          <w:pPr>
            <w:widowControl w:val="0"/>
            <w:tabs>
              <w:tab w:val="right" w:pos="12000"/>
            </w:tabs>
            <w:spacing w:before="60" w:line="240" w:lineRule="auto"/>
            <w:ind w:left="360"/>
            <w:rPr>
              <w:color w:val="000000"/>
            </w:rPr>
          </w:pPr>
          <w:hyperlink w:anchor="_a8m5ts49xu4k">
            <w:r>
              <w:rPr>
                <w:rFonts w:ascii="Times New Roman" w:eastAsia="Times New Roman" w:hAnsi="Times New Roman" w:cs="Times New Roman"/>
                <w:color w:val="000000"/>
                <w:sz w:val="24"/>
                <w:szCs w:val="24"/>
              </w:rPr>
              <w:t>15. Síntese dos resultados</w:t>
            </w:r>
            <w:r>
              <w:rPr>
                <w:rFonts w:ascii="Times New Roman" w:eastAsia="Times New Roman" w:hAnsi="Times New Roman" w:cs="Times New Roman"/>
                <w:color w:val="000000"/>
                <w:sz w:val="24"/>
                <w:szCs w:val="24"/>
              </w:rPr>
              <w:tab/>
              <w:t>12</w:t>
            </w:r>
          </w:hyperlink>
        </w:p>
        <w:p w14:paraId="2D0D3E62" w14:textId="77777777" w:rsidR="003B7FBE" w:rsidRDefault="00AE3682">
          <w:pPr>
            <w:widowControl w:val="0"/>
            <w:tabs>
              <w:tab w:val="right" w:pos="12000"/>
            </w:tabs>
            <w:spacing w:before="60" w:line="240" w:lineRule="auto"/>
            <w:ind w:left="360"/>
            <w:rPr>
              <w:color w:val="000000"/>
            </w:rPr>
          </w:pPr>
          <w:hyperlink w:anchor="_chkt6jvcgpmt">
            <w:r>
              <w:rPr>
                <w:rFonts w:ascii="Times New Roman" w:eastAsia="Times New Roman" w:hAnsi="Times New Roman" w:cs="Times New Roman"/>
                <w:color w:val="000000"/>
                <w:sz w:val="24"/>
                <w:szCs w:val="24"/>
              </w:rPr>
              <w:t>16. Relações com a questão da pesquisa</w:t>
            </w:r>
            <w:r>
              <w:rPr>
                <w:rFonts w:ascii="Times New Roman" w:eastAsia="Times New Roman" w:hAnsi="Times New Roman" w:cs="Times New Roman"/>
                <w:color w:val="000000"/>
                <w:sz w:val="24"/>
                <w:szCs w:val="24"/>
              </w:rPr>
              <w:tab/>
              <w:t>12</w:t>
            </w:r>
          </w:hyperlink>
        </w:p>
        <w:p w14:paraId="2D0D3E63" w14:textId="77777777" w:rsidR="003B7FBE" w:rsidRDefault="00AE3682">
          <w:pPr>
            <w:widowControl w:val="0"/>
            <w:tabs>
              <w:tab w:val="right" w:pos="12000"/>
            </w:tabs>
            <w:spacing w:before="60" w:line="240" w:lineRule="auto"/>
            <w:ind w:left="360"/>
            <w:rPr>
              <w:color w:val="000000"/>
            </w:rPr>
          </w:pPr>
          <w:hyperlink w:anchor="_pxhslj7vb71e">
            <w:r>
              <w:rPr>
                <w:rFonts w:ascii="Times New Roman" w:eastAsia="Times New Roman" w:hAnsi="Times New Roman" w:cs="Times New Roman"/>
                <w:color w:val="000000"/>
                <w:sz w:val="24"/>
                <w:szCs w:val="24"/>
              </w:rPr>
              <w:t>17. Implicações dos resultados</w:t>
            </w:r>
            <w:r>
              <w:rPr>
                <w:rFonts w:ascii="Times New Roman" w:eastAsia="Times New Roman" w:hAnsi="Times New Roman" w:cs="Times New Roman"/>
                <w:color w:val="000000"/>
                <w:sz w:val="24"/>
                <w:szCs w:val="24"/>
              </w:rPr>
              <w:tab/>
              <w:t>13</w:t>
            </w:r>
          </w:hyperlink>
        </w:p>
        <w:p w14:paraId="2D0D3E64" w14:textId="77777777" w:rsidR="003B7FBE" w:rsidRDefault="00AE3682">
          <w:pPr>
            <w:widowControl w:val="0"/>
            <w:tabs>
              <w:tab w:val="right" w:pos="12000"/>
            </w:tabs>
            <w:spacing w:before="60" w:line="240" w:lineRule="auto"/>
            <w:ind w:left="360"/>
            <w:rPr>
              <w:color w:val="000000"/>
            </w:rPr>
          </w:pPr>
          <w:hyperlink w:anchor="_n7iqyzls5q23">
            <w:r>
              <w:rPr>
                <w:rFonts w:ascii="Times New Roman" w:eastAsia="Times New Roman" w:hAnsi="Times New Roman" w:cs="Times New Roman"/>
                <w:color w:val="000000"/>
                <w:sz w:val="24"/>
                <w:szCs w:val="24"/>
              </w:rPr>
              <w:t>18. Limitações do estudo</w:t>
            </w:r>
            <w:r>
              <w:rPr>
                <w:rFonts w:ascii="Times New Roman" w:eastAsia="Times New Roman" w:hAnsi="Times New Roman" w:cs="Times New Roman"/>
                <w:color w:val="000000"/>
                <w:sz w:val="24"/>
                <w:szCs w:val="24"/>
              </w:rPr>
              <w:tab/>
              <w:t>13</w:t>
            </w:r>
          </w:hyperlink>
        </w:p>
        <w:p w14:paraId="2D0D3E65" w14:textId="77777777" w:rsidR="003B7FBE" w:rsidRDefault="00AE3682">
          <w:pPr>
            <w:widowControl w:val="0"/>
            <w:tabs>
              <w:tab w:val="right" w:pos="12000"/>
            </w:tabs>
            <w:spacing w:before="60" w:line="240" w:lineRule="auto"/>
            <w:rPr>
              <w:b/>
              <w:color w:val="000000"/>
            </w:rPr>
          </w:pPr>
          <w:hyperlink w:anchor="_xmwgn7dcdush">
            <w:r>
              <w:rPr>
                <w:rFonts w:ascii="Times New Roman" w:eastAsia="Times New Roman" w:hAnsi="Times New Roman" w:cs="Times New Roman"/>
                <w:b/>
                <w:color w:val="000000"/>
                <w:sz w:val="24"/>
                <w:szCs w:val="24"/>
              </w:rPr>
              <w:t>CONCLUSÃO</w:t>
            </w:r>
            <w:r>
              <w:rPr>
                <w:rFonts w:ascii="Times New Roman" w:eastAsia="Times New Roman" w:hAnsi="Times New Roman" w:cs="Times New Roman"/>
                <w:b/>
                <w:color w:val="000000"/>
                <w:sz w:val="24"/>
                <w:szCs w:val="24"/>
              </w:rPr>
              <w:tab/>
              <w:t>13</w:t>
            </w:r>
          </w:hyperlink>
        </w:p>
        <w:p w14:paraId="2D0D3E66" w14:textId="77777777" w:rsidR="003B7FBE" w:rsidRDefault="00AE3682">
          <w:pPr>
            <w:widowControl w:val="0"/>
            <w:tabs>
              <w:tab w:val="right" w:pos="12000"/>
            </w:tabs>
            <w:spacing w:before="60" w:line="240" w:lineRule="auto"/>
            <w:ind w:left="360"/>
            <w:rPr>
              <w:color w:val="000000"/>
            </w:rPr>
          </w:pPr>
          <w:hyperlink w:anchor="_96lq1moxgz8g">
            <w:r>
              <w:rPr>
                <w:rFonts w:ascii="Times New Roman" w:eastAsia="Times New Roman" w:hAnsi="Times New Roman" w:cs="Times New Roman"/>
                <w:color w:val="000000"/>
                <w:sz w:val="24"/>
                <w:szCs w:val="24"/>
              </w:rPr>
              <w:t>19. Resumo dos principais pontos</w:t>
            </w:r>
            <w:r>
              <w:rPr>
                <w:rFonts w:ascii="Times New Roman" w:eastAsia="Times New Roman" w:hAnsi="Times New Roman" w:cs="Times New Roman"/>
                <w:color w:val="000000"/>
                <w:sz w:val="24"/>
                <w:szCs w:val="24"/>
              </w:rPr>
              <w:tab/>
              <w:t>13</w:t>
            </w:r>
          </w:hyperlink>
        </w:p>
        <w:p w14:paraId="2D0D3E67" w14:textId="77777777" w:rsidR="003B7FBE" w:rsidRDefault="00AE3682">
          <w:pPr>
            <w:widowControl w:val="0"/>
            <w:tabs>
              <w:tab w:val="right" w:pos="12000"/>
            </w:tabs>
            <w:spacing w:before="60" w:line="240" w:lineRule="auto"/>
            <w:rPr>
              <w:b/>
              <w:color w:val="000000"/>
            </w:rPr>
          </w:pPr>
          <w:hyperlink w:anchor="_y7dbf06sjxqr">
            <w:r>
              <w:rPr>
                <w:rFonts w:ascii="Times New Roman" w:eastAsia="Times New Roman" w:hAnsi="Times New Roman" w:cs="Times New Roman"/>
                <w:b/>
                <w:color w:val="000000"/>
                <w:sz w:val="24"/>
                <w:szCs w:val="24"/>
              </w:rPr>
              <w:t>REFERÊNCIAS BIBLIOGRÁFICAS</w:t>
            </w:r>
            <w:r>
              <w:rPr>
                <w:rFonts w:ascii="Times New Roman" w:eastAsia="Times New Roman" w:hAnsi="Times New Roman" w:cs="Times New Roman"/>
                <w:b/>
                <w:color w:val="000000"/>
                <w:sz w:val="24"/>
                <w:szCs w:val="24"/>
              </w:rPr>
              <w:tab/>
              <w:t>14</w:t>
            </w:r>
          </w:hyperlink>
          <w:r>
            <w:fldChar w:fldCharType="end"/>
          </w:r>
        </w:p>
      </w:sdtContent>
    </w:sdt>
    <w:p w14:paraId="2D0D3E68" w14:textId="77777777" w:rsidR="003B7FBE" w:rsidRDefault="00AE3682">
      <w:pPr>
        <w:jc w:val="both"/>
        <w:rPr>
          <w:rFonts w:ascii="Times New Roman" w:eastAsia="Times New Roman" w:hAnsi="Times New Roman" w:cs="Times New Roman"/>
          <w:sz w:val="24"/>
          <w:szCs w:val="24"/>
        </w:rPr>
      </w:pPr>
      <w:r>
        <w:br w:type="page"/>
      </w:r>
    </w:p>
    <w:p w14:paraId="2D0D3E69" w14:textId="77777777" w:rsidR="003B7FBE" w:rsidRDefault="00AE3682">
      <w:pPr>
        <w:pStyle w:val="Ttulo1"/>
        <w:jc w:val="both"/>
        <w:rPr>
          <w:rFonts w:ascii="Times New Roman" w:eastAsia="Times New Roman" w:hAnsi="Times New Roman" w:cs="Times New Roman"/>
        </w:rPr>
      </w:pPr>
      <w:bookmarkStart w:id="1" w:name="_vp15diitc53i" w:colFirst="0" w:colLast="0"/>
      <w:bookmarkEnd w:id="1"/>
      <w:r>
        <w:rPr>
          <w:rFonts w:ascii="Times New Roman" w:eastAsia="Times New Roman" w:hAnsi="Times New Roman" w:cs="Times New Roman"/>
        </w:rPr>
        <w:lastRenderedPageBreak/>
        <w:t>INTRODUÇÃO</w:t>
      </w:r>
    </w:p>
    <w:p w14:paraId="2D0D3E6A" w14:textId="77777777" w:rsidR="003B7FBE" w:rsidRDefault="003B7FBE">
      <w:pPr>
        <w:jc w:val="both"/>
        <w:rPr>
          <w:rFonts w:ascii="Times New Roman" w:eastAsia="Times New Roman" w:hAnsi="Times New Roman" w:cs="Times New Roman"/>
          <w:b/>
          <w:sz w:val="24"/>
          <w:szCs w:val="24"/>
        </w:rPr>
      </w:pPr>
    </w:p>
    <w:p w14:paraId="2D0D3E6B" w14:textId="77777777" w:rsidR="003B7FBE" w:rsidRDefault="00AE3682">
      <w:pPr>
        <w:pStyle w:val="Ttulo2"/>
        <w:numPr>
          <w:ilvl w:val="0"/>
          <w:numId w:val="1"/>
        </w:numPr>
        <w:jc w:val="both"/>
      </w:pPr>
      <w:bookmarkStart w:id="2" w:name="_cegvfz90ape9" w:colFirst="0" w:colLast="0"/>
      <w:bookmarkEnd w:id="2"/>
      <w:r>
        <w:rPr>
          <w:rFonts w:ascii="Times New Roman" w:eastAsia="Times New Roman" w:hAnsi="Times New Roman" w:cs="Times New Roman"/>
        </w:rPr>
        <w:t>Contexto</w:t>
      </w:r>
    </w:p>
    <w:p w14:paraId="2D0D3E6C" w14:textId="77777777" w:rsidR="003B7FBE" w:rsidRDefault="003B7FBE">
      <w:pPr>
        <w:jc w:val="both"/>
        <w:rPr>
          <w:rFonts w:ascii="Times New Roman" w:eastAsia="Times New Roman" w:hAnsi="Times New Roman" w:cs="Times New Roman"/>
          <w:sz w:val="24"/>
          <w:szCs w:val="24"/>
        </w:rPr>
      </w:pPr>
    </w:p>
    <w:p w14:paraId="2D0D3E6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Historicamente, o mercado de trabalho na América Latina tem apresentado uma das maiores taxas de desemprego do mundo, ficando atrás apenas das economias do continente africano, e a mais alta em relação a outras regiões em desenvolvimento; em 2021, de acordo com a agência de risco </w:t>
      </w:r>
      <w:proofErr w:type="spellStart"/>
      <w:r>
        <w:rPr>
          <w:rFonts w:ascii="Times New Roman" w:eastAsia="Times New Roman" w:hAnsi="Times New Roman" w:cs="Times New Roman"/>
          <w:sz w:val="24"/>
          <w:szCs w:val="24"/>
        </w:rPr>
        <w:t>Austing</w:t>
      </w:r>
      <w:proofErr w:type="spellEnd"/>
      <w:r>
        <w:rPr>
          <w:rFonts w:ascii="Times New Roman" w:eastAsia="Times New Roman" w:hAnsi="Times New Roman" w:cs="Times New Roman"/>
          <w:sz w:val="24"/>
          <w:szCs w:val="24"/>
        </w:rPr>
        <w:t xml:space="preserve"> Rating, foi registrada no Brasil a quarta maior taxa de desemprego entre as principais economias, 13,2% [1]. Fatores como a volatilidade da atividade econômica resultante da dependência de commodities e de instabilidade política, alta informalidade no mercado de trabalho e desigualdades sociais se combinam para criar desafios persistentes, como altas taxas de desemprego e subemprego.</w:t>
      </w:r>
    </w:p>
    <w:p w14:paraId="2D0D3E6E" w14:textId="77777777" w:rsidR="003B7FBE" w:rsidRDefault="003B7FBE">
      <w:pPr>
        <w:ind w:left="720"/>
        <w:jc w:val="both"/>
        <w:rPr>
          <w:rFonts w:ascii="Times New Roman" w:eastAsia="Times New Roman" w:hAnsi="Times New Roman" w:cs="Times New Roman"/>
          <w:sz w:val="24"/>
          <w:szCs w:val="24"/>
        </w:rPr>
      </w:pPr>
    </w:p>
    <w:p w14:paraId="2D0D3E6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quadro se mostra ainda mais preocupante após uma análise de indicadores de ocupação entre jovens de 14 a 24 anos de idade. Aliadas à falta de diversificação econômica, que limita a criação de empregos em setores de alto valor agregado, à rigidez das leis trabalhistas que oneram a contratação formal, à problemas de infraestrutura decorrentes de urbanização desordenada e à falta de políticas de incentivos eficazes, a deficiência do sistema educacional, que não dota os jovens recém-formados para as demandas do mercado de trabalho modernizado, a marginalização decorrente da falta de experiência, e a localização em regiões periféricas aos grandes centros de desenvolvimento econômico, dificultam a integração econômica dos jovens no setor formal de produção. Empurrados para a informalidade, esses jovens não conseguem adquirir a experiência requerida deles para o ingresso no mercado formal, impedindo-o de quebrar esse ciclo de vulnerabilidade, e, portanto, é uma questão crucial para o fenômeno da mobilidade social.</w:t>
      </w:r>
    </w:p>
    <w:p w14:paraId="2D0D3E70" w14:textId="77777777" w:rsidR="003B7FBE" w:rsidRDefault="003B7FBE">
      <w:pPr>
        <w:ind w:left="720"/>
        <w:jc w:val="both"/>
        <w:rPr>
          <w:rFonts w:ascii="Times New Roman" w:eastAsia="Times New Roman" w:hAnsi="Times New Roman" w:cs="Times New Roman"/>
          <w:sz w:val="24"/>
          <w:szCs w:val="24"/>
        </w:rPr>
      </w:pPr>
    </w:p>
    <w:p w14:paraId="2DE17F47" w14:textId="1A65C199" w:rsidR="0007535A" w:rsidRDefault="00AE3682" w:rsidP="0007535A">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Brasil, apesar de algumas mudanças estruturais significativas que ocorreram no setor produtivo e nas relações de trabalho, contribuindo para um aumento da formalização no mercado de trabalho a partir de 2004, a taxa de ocupação entre os jovens vem piorando significativamente desde a década de 1990. Aplicando o índice de participação relativa dos jovens entre 14 e 24 anos em postos formais de emprego desenvolvido em Filho et al. (2015) em dados da Informação Social Anual (RAIS) do Ministério do Trabalho e Emprego, para os anos de 1992, 2002 e 2012, estima-se uma redução de cerca de 18,55%, o que indica queda da participação juvenil no setor formal; regionalmente, o Sudeste, polo econômico significante para o país, apresentou uma redução de 21,03% no mesmo indicador.</w:t>
      </w:r>
    </w:p>
    <w:p w14:paraId="2D0D3E72" w14:textId="77777777" w:rsidR="003B7FBE" w:rsidRDefault="003B7FBE">
      <w:pPr>
        <w:ind w:left="720"/>
        <w:jc w:val="both"/>
        <w:rPr>
          <w:rFonts w:ascii="Times New Roman" w:eastAsia="Times New Roman" w:hAnsi="Times New Roman" w:cs="Times New Roman"/>
          <w:sz w:val="24"/>
          <w:szCs w:val="24"/>
        </w:rPr>
      </w:pPr>
    </w:p>
    <w:p w14:paraId="2D0D3E73" w14:textId="6C3B7F30"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Essa problemática, a da falta de qualificação dos jovens para o mercado de trabalho que estava sendo modernizado, foi considerada nas diversas políticas públicas direcionadas aos mais vulneráveis, que foram implementadas visando a ampliação do estoque de capital humano na economia. Pode-se elencar alguns exemplos de sucesso, como o Programa </w:t>
      </w:r>
      <w:r w:rsidR="00CD2A7D">
        <w:rPr>
          <w:rFonts w:ascii="Times New Roman" w:eastAsia="Times New Roman" w:hAnsi="Times New Roman" w:cs="Times New Roman"/>
          <w:sz w:val="24"/>
          <w:szCs w:val="24"/>
        </w:rPr>
        <w:t>N</w:t>
      </w:r>
      <w:r>
        <w:rPr>
          <w:rFonts w:ascii="Times New Roman" w:eastAsia="Times New Roman" w:hAnsi="Times New Roman" w:cs="Times New Roman"/>
          <w:sz w:val="24"/>
          <w:szCs w:val="24"/>
        </w:rPr>
        <w:t xml:space="preserve">acional de Acesso ao Ensino Técnico e ao emprego, que ofereceu cursos de </w:t>
      </w:r>
      <w:r>
        <w:rPr>
          <w:rFonts w:ascii="Times New Roman" w:eastAsia="Times New Roman" w:hAnsi="Times New Roman" w:cs="Times New Roman"/>
          <w:sz w:val="24"/>
          <w:szCs w:val="24"/>
        </w:rPr>
        <w:lastRenderedPageBreak/>
        <w:t>educação profissional e tecnológica, a partir de 2011, atingindo mais de 10 milhões de jovens; como também, o programa Brasil Jovem, lançado em 2018, que promoveu formação técnica, desenvolvimento cultural e incentivou o empreendedorismo. Esses e outros esforços baseiam-se em iniciativas do início da década de 2000, como a Lei do Aprendiz, que incentiva os empregadores a contratar jovens entre 14 e 24 anos, por meio de contratos de trabalho especial de meio período, focado em funções de aprendizagem – conhecido hoje como Programa Jovem Aprendiz; ademais, avaliações da eficácia dessa política social apresentam que houve elevação do emprego dos jovens, principalmente em microempresas, ressaltando a importância de incentivos ao micro empreendedorismo (simplificação tributária, acesso a crédito, incentivos à formalização, etc.). Porém, outros estudos mostram que ainda há muitos avanços a serem feitos quanto à regulamentação, muitos privilégios para trabalhadores existentes oferecem barreiras para quem entra no mercado (Almeida, Truman G., Packard, 2018).</w:t>
      </w:r>
    </w:p>
    <w:p w14:paraId="2D0D3E74" w14:textId="77777777" w:rsidR="003B7FBE" w:rsidRDefault="003B7FBE">
      <w:pPr>
        <w:ind w:left="720"/>
        <w:jc w:val="both"/>
        <w:rPr>
          <w:rFonts w:ascii="Times New Roman" w:eastAsia="Times New Roman" w:hAnsi="Times New Roman" w:cs="Times New Roman"/>
          <w:sz w:val="24"/>
          <w:szCs w:val="24"/>
        </w:rPr>
      </w:pPr>
    </w:p>
    <w:p w14:paraId="2D0D3E75"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Ao explorar esses dados de ocupação, vários trabalhos têm analisado os fatores relacionados ao declínio do emprego relativo de jovens no setor formal da economia brasileira, destacando-se a preponderância da informalidade. De acordo com dados da Pesquisa Nacional por Amostra de Domicílios (PNAD) para 2011, a taxa de informalidade entre os jovens era de cerca de 16,3%, com as cidades das regiões metropolitanas do Nordeste apresentando taxas mais elevadas apesar de ter se beneficiado da melhoria do capital humano entre os jovens, com o crescimento dos investimentos em educação, entre 2001 e 2008 (Filho, Silva, Queiroz, 2015). Souza (2020), por sua vez, explora alguns fatores que expliquem essa alta informalidade entre os jovens, destacando aqueles que dificultam o acesso deles ao mercado de trabalho, e reforçando o papel da alta taxa de rotatividade na manutenção dos obstáculos.  Compreende que, a transição do jovem da escola para o mercado se dá com bastante dificuldade devido à sua falta de experiência e ao subdesenvolvimento de competências profissionais em geral; sem abstrair de fatores limitantes como condições econômicas instáveis, desigualdades sociais relacionadas à gênero, raça, origem, de dificuldades devidas à concentração produtiva, que afetam a disponibilidade de oportunidades de empregos formais, em meio a uma predominância de ocupações mal remuneradas, sem segurança social e do trabalho, fora das diretrizes da Consolidação das Leis do Trabalho (CLT).</w:t>
      </w:r>
    </w:p>
    <w:p w14:paraId="2D0D3E76" w14:textId="77777777" w:rsidR="003B7FBE" w:rsidRDefault="003B7FBE">
      <w:pPr>
        <w:ind w:left="720"/>
        <w:jc w:val="both"/>
        <w:rPr>
          <w:rFonts w:ascii="Times New Roman" w:eastAsia="Times New Roman" w:hAnsi="Times New Roman" w:cs="Times New Roman"/>
          <w:sz w:val="24"/>
          <w:szCs w:val="24"/>
        </w:rPr>
      </w:pPr>
    </w:p>
    <w:p w14:paraId="2D0D3E77"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sua vez, as elevadas taxas de rotatividade registradas têm seu lugar na literatura econômica, pois, assim como a taxa de ocupação, expressa o grau de vulnerabilidade profissional dos jovens, que, por serem menos qualificados que outros trabalhadores, são facilmente despedidos, e\ou, por necessitar conciliar trabalho e cursos profissionalizantes, precisam trocar de emprego. Ao traçar um quadro comparativo dos padrões de movimento dos jovens e adultos no mercado de trabalho durante o período de 1996-2011, através de uma abordagem de fluxo, </w:t>
      </w:r>
      <w:proofErr w:type="spellStart"/>
      <w:r>
        <w:rPr>
          <w:rFonts w:ascii="Times New Roman" w:eastAsia="Times New Roman" w:hAnsi="Times New Roman" w:cs="Times New Roman"/>
          <w:sz w:val="24"/>
          <w:szCs w:val="24"/>
        </w:rPr>
        <w:t>Corseiul</w:t>
      </w:r>
      <w:proofErr w:type="spellEnd"/>
      <w:r>
        <w:rPr>
          <w:rFonts w:ascii="Times New Roman" w:eastAsia="Times New Roman" w:hAnsi="Times New Roman" w:cs="Times New Roman"/>
          <w:sz w:val="24"/>
          <w:szCs w:val="24"/>
        </w:rPr>
        <w:t xml:space="preserve"> et. al. (2014) mensura uma taxa de rotatividade relativamente maior entre os jovens, e mostra, a partir de trabalhos de outros pesquisadores, como períodos curtos no mesmo posto comprometem a aquisição de competências e construção de experiência profissional, o que reduz a </w:t>
      </w:r>
      <w:r>
        <w:rPr>
          <w:rFonts w:ascii="Times New Roman" w:eastAsia="Times New Roman" w:hAnsi="Times New Roman" w:cs="Times New Roman"/>
          <w:sz w:val="24"/>
          <w:szCs w:val="24"/>
        </w:rPr>
        <w:lastRenderedPageBreak/>
        <w:t>perspectiva de carreiras estáveis – que apresentam maior produtividade e salários, no longo prazo. Deduz-se daí o quanto a informalidade afeta a mobilidade social, que permanece estagnada enquanto ela aumenta, e é o que mostram os dados para a economia brasileira da década de 1990 até os dias atuais (Filho, Silva, Queiroz, 2015).</w:t>
      </w:r>
    </w:p>
    <w:p w14:paraId="2D0D3E78" w14:textId="77777777" w:rsidR="003B7FBE" w:rsidRDefault="003B7FBE">
      <w:pPr>
        <w:ind w:left="720"/>
        <w:jc w:val="both"/>
        <w:rPr>
          <w:rFonts w:ascii="Times New Roman" w:eastAsia="Times New Roman" w:hAnsi="Times New Roman" w:cs="Times New Roman"/>
          <w:sz w:val="24"/>
          <w:szCs w:val="24"/>
        </w:rPr>
      </w:pPr>
    </w:p>
    <w:p w14:paraId="2D0D3E79"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Outras pesquisas destacam a relevância da competitividade entre os próprios jovens no mercado de trabalho como fator não negligenciável para o seu sucesso no mercado de trabalho; de acordo com dados do MTE, 5,2 milhões de jovens têm disputado por poucas vagas formais disponíveis. Assim, estudos como do Pinheiro et. al. (2010) estudam os impactos do bônus demográfico pelo qual o Brasil passou na década de 2000.</w:t>
      </w:r>
    </w:p>
    <w:p w14:paraId="2D0D3E7A" w14:textId="77777777" w:rsidR="003B7FBE" w:rsidRDefault="003B7FBE">
      <w:pPr>
        <w:ind w:left="720"/>
        <w:jc w:val="both"/>
        <w:rPr>
          <w:rFonts w:ascii="Times New Roman" w:eastAsia="Times New Roman" w:hAnsi="Times New Roman" w:cs="Times New Roman"/>
          <w:sz w:val="24"/>
          <w:szCs w:val="24"/>
        </w:rPr>
      </w:pPr>
    </w:p>
    <w:p w14:paraId="2D0D3E7B" w14:textId="77777777" w:rsidR="003B7FBE" w:rsidRDefault="00AE3682">
      <w:pPr>
        <w:pStyle w:val="Ttulo2"/>
        <w:numPr>
          <w:ilvl w:val="0"/>
          <w:numId w:val="1"/>
        </w:numPr>
        <w:jc w:val="both"/>
      </w:pPr>
      <w:bookmarkStart w:id="3" w:name="_axyxiafib09v" w:colFirst="0" w:colLast="0"/>
      <w:bookmarkEnd w:id="3"/>
      <w:r>
        <w:rPr>
          <w:rFonts w:ascii="Times New Roman" w:eastAsia="Times New Roman" w:hAnsi="Times New Roman" w:cs="Times New Roman"/>
        </w:rPr>
        <w:t>Problema de Pesquisa</w:t>
      </w:r>
    </w:p>
    <w:p w14:paraId="2D0D3E7C" w14:textId="77777777" w:rsidR="003B7FBE" w:rsidRDefault="003B7FBE">
      <w:pPr>
        <w:ind w:left="1440"/>
        <w:jc w:val="both"/>
        <w:rPr>
          <w:rFonts w:ascii="Times New Roman" w:eastAsia="Times New Roman" w:hAnsi="Times New Roman" w:cs="Times New Roman"/>
          <w:sz w:val="24"/>
          <w:szCs w:val="24"/>
        </w:rPr>
      </w:pPr>
    </w:p>
    <w:p w14:paraId="2D0D3E7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Na história mais recente da economia brasileira, a pandemia de COVID-19, com as medidas de restrição de contato necessárias para conter seu aprofundamento, teve efeitos drásticos sobre a atividade econômica. Trabalhadores em geral, especialmente os do setor informal, onde atividades de serviços intensivas em contato físico predominam, tiveram que paralisar seus trabalhos devido às medidas de isolamento social; a mão de obra juvenil é prevalente nesse setor. Sem explorar os choques de oferta resultantes da interrupção do comércio internacional e readequação das cadeias globais de valor, algumas firmas tiveram que reduzir sua atividade, e até fechar as portas, enquanto muitas não sobreviveram ao aumento de custos e redução das receitas, e faliram. Reduções da capacidade produtiva da economia e do nível de emprego são consequências esperadas de eventos críticos como esses, em que as decisões econômicas se apresentam significativamente voláteis, ocorrendo descoordenação e quebra de ligações intersetoriais. </w:t>
      </w:r>
    </w:p>
    <w:p w14:paraId="2D0D3E7E" w14:textId="77777777" w:rsidR="003B7FBE" w:rsidRDefault="003B7FBE">
      <w:pPr>
        <w:ind w:left="720"/>
        <w:jc w:val="both"/>
        <w:rPr>
          <w:rFonts w:ascii="Times New Roman" w:eastAsia="Times New Roman" w:hAnsi="Times New Roman" w:cs="Times New Roman"/>
          <w:sz w:val="24"/>
          <w:szCs w:val="24"/>
        </w:rPr>
      </w:pPr>
    </w:p>
    <w:p w14:paraId="2D0D3E7F" w14:textId="14EDF0B6"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Uma recessão com efeitos similares (em gênero, mas não necessariamente em intensidade) foi a crise da Nova Matriz Econômica no ano de 2015; analisando o período, </w:t>
      </w:r>
      <w:proofErr w:type="spellStart"/>
      <w:r>
        <w:rPr>
          <w:rFonts w:ascii="Times New Roman" w:eastAsia="Times New Roman" w:hAnsi="Times New Roman" w:cs="Times New Roman"/>
          <w:sz w:val="24"/>
          <w:szCs w:val="24"/>
        </w:rPr>
        <w:t>Conseiul</w:t>
      </w:r>
      <w:proofErr w:type="spellEnd"/>
      <w:r>
        <w:rPr>
          <w:rFonts w:ascii="Times New Roman" w:eastAsia="Times New Roman" w:hAnsi="Times New Roman" w:cs="Times New Roman"/>
          <w:sz w:val="24"/>
          <w:szCs w:val="24"/>
        </w:rPr>
        <w:t xml:space="preserve"> et al. (2020) avalia como mudanças abruptas na economia impactam negativamente a inserção juvenil no mercado de trabalho, e </w:t>
      </w:r>
      <w:r w:rsidR="00CC2CFB">
        <w:rPr>
          <w:rFonts w:ascii="Times New Roman" w:eastAsia="Times New Roman" w:hAnsi="Times New Roman" w:cs="Times New Roman"/>
          <w:sz w:val="24"/>
          <w:szCs w:val="24"/>
        </w:rPr>
        <w:t>constata o quanto d</w:t>
      </w:r>
      <w:r>
        <w:rPr>
          <w:rFonts w:ascii="Times New Roman" w:eastAsia="Times New Roman" w:hAnsi="Times New Roman" w:cs="Times New Roman"/>
          <w:sz w:val="24"/>
          <w:szCs w:val="24"/>
        </w:rPr>
        <w:t xml:space="preserve">isso </w:t>
      </w:r>
      <w:r w:rsidR="00CC2CFB">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 xml:space="preserve">deve </w:t>
      </w:r>
      <w:r w:rsidR="00FF463F">
        <w:rPr>
          <w:rFonts w:ascii="Times New Roman" w:eastAsia="Times New Roman" w:hAnsi="Times New Roman" w:cs="Times New Roman"/>
          <w:sz w:val="24"/>
          <w:szCs w:val="24"/>
        </w:rPr>
        <w:t>à</w:t>
      </w:r>
      <w:r>
        <w:rPr>
          <w:rFonts w:ascii="Times New Roman" w:eastAsia="Times New Roman" w:hAnsi="Times New Roman" w:cs="Times New Roman"/>
          <w:sz w:val="24"/>
          <w:szCs w:val="24"/>
        </w:rPr>
        <w:t xml:space="preserve"> presença de fatores que tornam sua força de trabalho mais descartável em relação </w:t>
      </w:r>
      <w:r w:rsidR="00FF463F">
        <w:rPr>
          <w:rFonts w:ascii="Times New Roman" w:eastAsia="Times New Roman" w:hAnsi="Times New Roman" w:cs="Times New Roman"/>
          <w:sz w:val="24"/>
          <w:szCs w:val="24"/>
        </w:rPr>
        <w:t>aos trabalhadores</w:t>
      </w:r>
      <w:r>
        <w:rPr>
          <w:rFonts w:ascii="Times New Roman" w:eastAsia="Times New Roman" w:hAnsi="Times New Roman" w:cs="Times New Roman"/>
          <w:sz w:val="24"/>
          <w:szCs w:val="24"/>
        </w:rPr>
        <w:t xml:space="preserve"> mais velhos e </w:t>
      </w:r>
      <w:r w:rsidR="00FF463F">
        <w:rPr>
          <w:rFonts w:ascii="Times New Roman" w:eastAsia="Times New Roman" w:hAnsi="Times New Roman" w:cs="Times New Roman"/>
          <w:sz w:val="24"/>
          <w:szCs w:val="24"/>
        </w:rPr>
        <w:t xml:space="preserve">mais </w:t>
      </w:r>
      <w:r>
        <w:rPr>
          <w:rFonts w:ascii="Times New Roman" w:eastAsia="Times New Roman" w:hAnsi="Times New Roman" w:cs="Times New Roman"/>
          <w:sz w:val="24"/>
          <w:szCs w:val="24"/>
        </w:rPr>
        <w:t xml:space="preserve">experientes. O trabalho também identifica como essa preterição pela força de trabalho jovem, </w:t>
      </w:r>
      <w:r w:rsidR="006532A8">
        <w:rPr>
          <w:rFonts w:ascii="Times New Roman" w:eastAsia="Times New Roman" w:hAnsi="Times New Roman" w:cs="Times New Roman"/>
          <w:sz w:val="24"/>
          <w:szCs w:val="24"/>
        </w:rPr>
        <w:t xml:space="preserve">reduz o tempo de desemprego </w:t>
      </w:r>
      <w:r w:rsidR="001330FA">
        <w:rPr>
          <w:rFonts w:ascii="Times New Roman" w:eastAsia="Times New Roman" w:hAnsi="Times New Roman" w:cs="Times New Roman"/>
          <w:sz w:val="24"/>
          <w:szCs w:val="24"/>
        </w:rPr>
        <w:t>entre os jovens via rotatividade. Isso gera um</w:t>
      </w:r>
      <w:r w:rsidR="005D13C8">
        <w:rPr>
          <w:rFonts w:ascii="Times New Roman" w:eastAsia="Times New Roman" w:hAnsi="Times New Roman" w:cs="Times New Roman"/>
          <w:sz w:val="24"/>
          <w:szCs w:val="24"/>
        </w:rPr>
        <w:t xml:space="preserve"> otimismo ilusório em relação ao mercado de trabalho juvenil</w:t>
      </w:r>
      <w:r w:rsidR="002E266F">
        <w:rPr>
          <w:rFonts w:ascii="Times New Roman" w:eastAsia="Times New Roman" w:hAnsi="Times New Roman" w:cs="Times New Roman"/>
          <w:sz w:val="24"/>
          <w:szCs w:val="24"/>
        </w:rPr>
        <w:t>, quando, na verdade, os indicadores estruturais dele indicam uma deterioração das condições laborais da juventude.</w:t>
      </w:r>
    </w:p>
    <w:p w14:paraId="2D0D3E80" w14:textId="77777777" w:rsidR="003B7FBE" w:rsidRDefault="003B7FBE">
      <w:pPr>
        <w:ind w:left="720"/>
        <w:jc w:val="both"/>
        <w:rPr>
          <w:rFonts w:ascii="Times New Roman" w:eastAsia="Times New Roman" w:hAnsi="Times New Roman" w:cs="Times New Roman"/>
          <w:sz w:val="24"/>
          <w:szCs w:val="24"/>
        </w:rPr>
      </w:pPr>
    </w:p>
    <w:p w14:paraId="2D0D3E81" w14:textId="1DDBA285"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Análises a partir de dados recentes têm sido pessimistas quanto </w:t>
      </w:r>
      <w:r w:rsidR="00595F8E">
        <w:rPr>
          <w:rFonts w:ascii="Times New Roman" w:eastAsia="Times New Roman" w:hAnsi="Times New Roman" w:cs="Times New Roman"/>
          <w:sz w:val="24"/>
          <w:szCs w:val="24"/>
        </w:rPr>
        <w:t>à</w:t>
      </w:r>
      <w:r>
        <w:rPr>
          <w:rFonts w:ascii="Times New Roman" w:eastAsia="Times New Roman" w:hAnsi="Times New Roman" w:cs="Times New Roman"/>
          <w:sz w:val="24"/>
          <w:szCs w:val="24"/>
        </w:rPr>
        <w:t xml:space="preserve"> recuperação da taxa de ocupação dos jovens para níveis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 xml:space="preserve">-pandemia, apontando para mudanças estruturais nos diversos setores econômicos, nas relações trabalhistas (Branco et al., 2020), que podem dificultar ainda mais a inserção </w:t>
      </w:r>
      <w:r w:rsidR="00595F8E">
        <w:rPr>
          <w:rFonts w:ascii="Times New Roman" w:eastAsia="Times New Roman" w:hAnsi="Times New Roman" w:cs="Times New Roman"/>
          <w:sz w:val="24"/>
          <w:szCs w:val="24"/>
        </w:rPr>
        <w:t>juvenil</w:t>
      </w:r>
      <w:r>
        <w:rPr>
          <w:rFonts w:ascii="Times New Roman" w:eastAsia="Times New Roman" w:hAnsi="Times New Roman" w:cs="Times New Roman"/>
          <w:sz w:val="24"/>
          <w:szCs w:val="24"/>
        </w:rPr>
        <w:t xml:space="preserve"> no mercado formal.</w:t>
      </w:r>
    </w:p>
    <w:p w14:paraId="2D0D3E82" w14:textId="77777777" w:rsidR="003B7FBE" w:rsidRDefault="003B7FBE">
      <w:pPr>
        <w:ind w:left="720"/>
        <w:jc w:val="both"/>
        <w:rPr>
          <w:rFonts w:ascii="Times New Roman" w:eastAsia="Times New Roman" w:hAnsi="Times New Roman" w:cs="Times New Roman"/>
          <w:sz w:val="24"/>
          <w:szCs w:val="24"/>
        </w:rPr>
      </w:pPr>
    </w:p>
    <w:p w14:paraId="435413CA" w14:textId="58AB08EA" w:rsidR="00595F8E" w:rsidRDefault="00AE3682">
      <w:pPr>
        <w:ind w:left="720"/>
        <w:jc w:val="both"/>
        <w:rPr>
          <w:rFonts w:ascii="Times New Roman" w:eastAsia="Times New Roman" w:hAnsi="Times New Roman" w:cs="Times New Roman"/>
          <w:sz w:val="24"/>
          <w:szCs w:val="24"/>
        </w:rPr>
      </w:pPr>
      <w:bookmarkStart w:id="4" w:name="_4668foccxpmr" w:colFirst="0" w:colLast="0"/>
      <w:bookmarkEnd w:id="4"/>
      <w:r>
        <w:rPr>
          <w:rFonts w:ascii="Times New Roman" w:eastAsia="Times New Roman" w:hAnsi="Times New Roman" w:cs="Times New Roman"/>
          <w:sz w:val="24"/>
          <w:szCs w:val="24"/>
        </w:rPr>
        <w:lastRenderedPageBreak/>
        <w:t xml:space="preserve">A pesquisa atual, em adição aos esforços de outros trabalhos, objetiva analisar os efeitos da pandemia sobre a ocupação dos jovens no mercado de trabalho, </w:t>
      </w:r>
      <w:r w:rsidR="00354282">
        <w:rPr>
          <w:rFonts w:ascii="Times New Roman" w:eastAsia="Times New Roman" w:hAnsi="Times New Roman" w:cs="Times New Roman"/>
          <w:sz w:val="24"/>
          <w:szCs w:val="24"/>
        </w:rPr>
        <w:t xml:space="preserve">secundarizando a análise do das taxas de desemprego, mas </w:t>
      </w:r>
      <w:r w:rsidR="000A1FAB">
        <w:rPr>
          <w:rFonts w:ascii="Times New Roman" w:eastAsia="Times New Roman" w:hAnsi="Times New Roman" w:cs="Times New Roman"/>
          <w:sz w:val="24"/>
          <w:szCs w:val="24"/>
        </w:rPr>
        <w:t xml:space="preserve">focando em indicadores estruturais do mercado de trabalho, dentro do arcabouço teórico do Modelo Search &amp; </w:t>
      </w:r>
      <w:proofErr w:type="spellStart"/>
      <w:r w:rsidR="000A1FAB">
        <w:rPr>
          <w:rFonts w:ascii="Times New Roman" w:eastAsia="Times New Roman" w:hAnsi="Times New Roman" w:cs="Times New Roman"/>
          <w:sz w:val="24"/>
          <w:szCs w:val="24"/>
        </w:rPr>
        <w:t>Matching</w:t>
      </w:r>
      <w:proofErr w:type="spellEnd"/>
      <w:r w:rsidR="000A1FAB">
        <w:rPr>
          <w:rFonts w:ascii="Times New Roman" w:eastAsia="Times New Roman" w:hAnsi="Times New Roman" w:cs="Times New Roman"/>
          <w:sz w:val="24"/>
          <w:szCs w:val="24"/>
        </w:rPr>
        <w:t xml:space="preserve"> do Diamond-Mortensen-</w:t>
      </w:r>
      <w:proofErr w:type="spellStart"/>
      <w:r w:rsidR="000A1FAB">
        <w:rPr>
          <w:rFonts w:ascii="Times New Roman" w:eastAsia="Times New Roman" w:hAnsi="Times New Roman" w:cs="Times New Roman"/>
          <w:sz w:val="24"/>
          <w:szCs w:val="24"/>
        </w:rPr>
        <w:t>Pissarides</w:t>
      </w:r>
      <w:proofErr w:type="spellEnd"/>
      <w:r w:rsidR="000A1FAB">
        <w:rPr>
          <w:rFonts w:ascii="Times New Roman" w:eastAsia="Times New Roman" w:hAnsi="Times New Roman" w:cs="Times New Roman"/>
          <w:sz w:val="24"/>
          <w:szCs w:val="24"/>
        </w:rPr>
        <w:t>.</w:t>
      </w:r>
    </w:p>
    <w:p w14:paraId="7D076301" w14:textId="77777777" w:rsidR="00595F8E" w:rsidRDefault="00595F8E">
      <w:pPr>
        <w:ind w:left="720"/>
        <w:jc w:val="both"/>
        <w:rPr>
          <w:rFonts w:ascii="Times New Roman" w:eastAsia="Times New Roman" w:hAnsi="Times New Roman" w:cs="Times New Roman"/>
          <w:sz w:val="24"/>
          <w:szCs w:val="24"/>
        </w:rPr>
      </w:pPr>
    </w:p>
    <w:p w14:paraId="2D0D3E83" w14:textId="2C65F890" w:rsidR="003B7FBE" w:rsidRDefault="00776AF6" w:rsidP="00581EF8">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Ao final, pretende-se mensurar sobre diferentes métricas, o impacto d</w:t>
      </w:r>
      <w:r w:rsidR="006E4A1D">
        <w:rPr>
          <w:rFonts w:ascii="Times New Roman" w:eastAsia="Times New Roman" w:hAnsi="Times New Roman" w:cs="Times New Roman"/>
          <w:sz w:val="24"/>
          <w:szCs w:val="24"/>
        </w:rPr>
        <w:t>o choque econômico decorrente da pandemia de COVID-19 sobre a inclusão laboral dos jovens</w:t>
      </w:r>
      <w:r w:rsidR="00581EF8">
        <w:rPr>
          <w:rFonts w:ascii="Times New Roman" w:eastAsia="Times New Roman" w:hAnsi="Times New Roman" w:cs="Times New Roman"/>
          <w:sz w:val="24"/>
          <w:szCs w:val="24"/>
        </w:rPr>
        <w:t>, analisando o desempenho dos indicadores utilizados antes, durante e depois da crise.</w:t>
      </w:r>
    </w:p>
    <w:p w14:paraId="2D0D3E84" w14:textId="77777777" w:rsidR="003B7FBE" w:rsidRDefault="003B7FBE">
      <w:pPr>
        <w:ind w:left="720"/>
        <w:jc w:val="both"/>
        <w:rPr>
          <w:rFonts w:ascii="Times New Roman" w:eastAsia="Times New Roman" w:hAnsi="Times New Roman" w:cs="Times New Roman"/>
          <w:b/>
          <w:sz w:val="24"/>
          <w:szCs w:val="24"/>
        </w:rPr>
      </w:pPr>
    </w:p>
    <w:p w14:paraId="2D0D3E85" w14:textId="77777777" w:rsidR="003B7FBE" w:rsidRDefault="00AE3682">
      <w:pPr>
        <w:pStyle w:val="Ttulo2"/>
        <w:numPr>
          <w:ilvl w:val="0"/>
          <w:numId w:val="1"/>
        </w:numPr>
        <w:jc w:val="both"/>
      </w:pPr>
      <w:bookmarkStart w:id="5" w:name="_ogroadezj44c" w:colFirst="0" w:colLast="0"/>
      <w:bookmarkEnd w:id="5"/>
      <w:r>
        <w:rPr>
          <w:rFonts w:ascii="Times New Roman" w:eastAsia="Times New Roman" w:hAnsi="Times New Roman" w:cs="Times New Roman"/>
        </w:rPr>
        <w:t>Significância do Estudo</w:t>
      </w:r>
    </w:p>
    <w:p w14:paraId="2D0D3E86" w14:textId="77777777" w:rsidR="003B7FBE" w:rsidRDefault="003B7FBE">
      <w:pPr>
        <w:ind w:left="720"/>
        <w:jc w:val="both"/>
        <w:rPr>
          <w:rFonts w:ascii="Times New Roman" w:eastAsia="Times New Roman" w:hAnsi="Times New Roman" w:cs="Times New Roman"/>
          <w:sz w:val="24"/>
          <w:szCs w:val="24"/>
        </w:rPr>
      </w:pPr>
    </w:p>
    <w:p w14:paraId="2D0D3E89" w14:textId="79C29482"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juventude brasileira enfrenta, historicamente, maiores dificuldades de inserção, permanência e progressão no mercado de trabalho, caracterizando um ciclo de vulnerabilidade que compromete seu desenvolvimento social e econômico. </w:t>
      </w:r>
      <w:r w:rsidR="000A61A8">
        <w:rPr>
          <w:rFonts w:ascii="Times New Roman" w:eastAsia="Times New Roman" w:hAnsi="Times New Roman" w:cs="Times New Roman"/>
          <w:sz w:val="24"/>
          <w:szCs w:val="24"/>
        </w:rPr>
        <w:t xml:space="preserve">Como abordado pela literatura </w:t>
      </w:r>
      <w:r w:rsidR="000F0FDE">
        <w:rPr>
          <w:rFonts w:ascii="Times New Roman" w:eastAsia="Times New Roman" w:hAnsi="Times New Roman" w:cs="Times New Roman"/>
          <w:sz w:val="24"/>
          <w:szCs w:val="24"/>
        </w:rPr>
        <w:t>em ciências sociais, t</w:t>
      </w:r>
      <w:r>
        <w:rPr>
          <w:rFonts w:ascii="Times New Roman" w:eastAsia="Times New Roman" w:hAnsi="Times New Roman" w:cs="Times New Roman"/>
          <w:sz w:val="24"/>
          <w:szCs w:val="24"/>
        </w:rPr>
        <w:t>ais dificuldades decorrem não apenas da menor experiência laboral, mas também da precariedade das condições de contratação, da informalidade, da rotatividade elevada e de desigualdades estruturais relacionadas a raça, gênero, escolaridade e território.</w:t>
      </w:r>
    </w:p>
    <w:p w14:paraId="2D0D3E8A" w14:textId="77777777" w:rsidR="003B7FBE" w:rsidRDefault="003B7FBE">
      <w:pPr>
        <w:ind w:left="720"/>
        <w:jc w:val="both"/>
        <w:rPr>
          <w:rFonts w:ascii="Times New Roman" w:eastAsia="Times New Roman" w:hAnsi="Times New Roman" w:cs="Times New Roman"/>
          <w:sz w:val="24"/>
          <w:szCs w:val="24"/>
        </w:rPr>
      </w:pPr>
    </w:p>
    <w:p w14:paraId="2D0D3E8B" w14:textId="2901546C"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 a chegada da pandemia de COVID-19 em 2020, essas vulnerabilidades foram acentuadas. A contração abrupta da atividade econômica, o fechamento temporário de setores com alta absorção juvenil (como comércio, serviços, cultura e turismo), e a transição forçada para modalidades digitais de contratação e produção impuseram choques severos ao processo de transição ocupacional dos jovens. </w:t>
      </w:r>
      <w:r w:rsidR="000F0FDE">
        <w:rPr>
          <w:rFonts w:ascii="Times New Roman" w:eastAsia="Times New Roman" w:hAnsi="Times New Roman" w:cs="Times New Roman"/>
          <w:sz w:val="24"/>
          <w:szCs w:val="24"/>
        </w:rPr>
        <w:t>Análises de d</w:t>
      </w:r>
      <w:r>
        <w:rPr>
          <w:rFonts w:ascii="Times New Roman" w:eastAsia="Times New Roman" w:hAnsi="Times New Roman" w:cs="Times New Roman"/>
          <w:sz w:val="24"/>
          <w:szCs w:val="24"/>
        </w:rPr>
        <w:t>ados agregados já apontavam elevações nas taxas de desemprego juvenil e na inatividade, mas não permitiam mensurar com precisão os mecanismos internos dessas mudanças nem suas implicações de médio prazo.</w:t>
      </w:r>
    </w:p>
    <w:p w14:paraId="2D0D3E8C" w14:textId="77777777" w:rsidR="003B7FBE" w:rsidRDefault="003B7FBE">
      <w:pPr>
        <w:ind w:left="720"/>
        <w:jc w:val="both"/>
        <w:rPr>
          <w:rFonts w:ascii="Times New Roman" w:eastAsia="Times New Roman" w:hAnsi="Times New Roman" w:cs="Times New Roman"/>
          <w:sz w:val="24"/>
          <w:szCs w:val="24"/>
        </w:rPr>
      </w:pPr>
    </w:p>
    <w:p w14:paraId="2D0D3E8D"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Diante desse cenário, torna-se urgente investigar os efeitos da pandemia sobre a estrutura profunda de funcionamento do mercado de trabalho juvenil, indo além das taxas agregadas. Para isso, é necessário integrar abordagens empíricas com modelos teóricos capazes de capturar as fricções inerentes à busca e ao emparelhamento entre trabalhadores e vagas. O modelo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amplamente utilizado na macroeconomia do trabalho, oferece essa capacidade, permitindo interpretar taxas de desemprego, separação e contratação como equilíbrios derivados de decisões interdependentes entre trabalhadores e empresas.</w:t>
      </w:r>
    </w:p>
    <w:p w14:paraId="2D0D3E8E" w14:textId="77777777" w:rsidR="003B7FBE" w:rsidRDefault="003B7FBE">
      <w:pPr>
        <w:ind w:left="720"/>
        <w:jc w:val="both"/>
        <w:rPr>
          <w:rFonts w:ascii="Times New Roman" w:eastAsia="Times New Roman" w:hAnsi="Times New Roman" w:cs="Times New Roman"/>
          <w:sz w:val="24"/>
          <w:szCs w:val="24"/>
        </w:rPr>
      </w:pPr>
    </w:p>
    <w:p w14:paraId="2D0D3E8F" w14:textId="77777777"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presente pesquisa justifica-se, portanto, pela combinação de três fatores centrais:</w:t>
      </w:r>
    </w:p>
    <w:p w14:paraId="2D0D3E90" w14:textId="77777777" w:rsidR="003B7FBE" w:rsidRDefault="003B7FBE">
      <w:pPr>
        <w:ind w:left="720"/>
        <w:jc w:val="both"/>
        <w:rPr>
          <w:rFonts w:ascii="Times New Roman" w:eastAsia="Times New Roman" w:hAnsi="Times New Roman" w:cs="Times New Roman"/>
          <w:sz w:val="24"/>
          <w:szCs w:val="24"/>
        </w:rPr>
      </w:pPr>
    </w:p>
    <w:p w14:paraId="2D0D3E91"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necessidade analítica de compreender o impacto da pandemia com base em microdados, com detalhamento de transições, grupos sociais e dinâmicas temporais;</w:t>
      </w:r>
    </w:p>
    <w:p w14:paraId="2D0D3E92" w14:textId="77777777" w:rsidR="003B7FBE" w:rsidRDefault="003B7FBE">
      <w:pPr>
        <w:pBdr>
          <w:top w:val="nil"/>
          <w:left w:val="nil"/>
          <w:bottom w:val="nil"/>
          <w:right w:val="nil"/>
          <w:between w:val="nil"/>
        </w:pBdr>
        <w:ind w:left="1080"/>
        <w:jc w:val="both"/>
        <w:rPr>
          <w:rFonts w:ascii="Times New Roman" w:eastAsia="Times New Roman" w:hAnsi="Times New Roman" w:cs="Times New Roman"/>
          <w:color w:val="000000"/>
          <w:sz w:val="24"/>
          <w:szCs w:val="24"/>
        </w:rPr>
      </w:pPr>
    </w:p>
    <w:p w14:paraId="2D0D3E93"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lastRenderedPageBreak/>
        <w:t>A relevância social e política do tema, dado o papel estratégico da juventude para o futuro da economia brasileira e a persistência de desigualdades de inserção;</w:t>
      </w:r>
    </w:p>
    <w:p w14:paraId="2D0D3E94" w14:textId="77777777" w:rsidR="003B7FBE" w:rsidRDefault="003B7FBE">
      <w:pPr>
        <w:jc w:val="both"/>
        <w:rPr>
          <w:rFonts w:ascii="Times New Roman" w:eastAsia="Times New Roman" w:hAnsi="Times New Roman" w:cs="Times New Roman"/>
          <w:sz w:val="24"/>
          <w:szCs w:val="24"/>
        </w:rPr>
      </w:pPr>
    </w:p>
    <w:p w14:paraId="2D0D3E95" w14:textId="77777777" w:rsidR="003B7FBE" w:rsidRDefault="00AE3682">
      <w:pPr>
        <w:numPr>
          <w:ilvl w:val="0"/>
          <w:numId w:val="6"/>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inovação metodológica, ao aplicar um modelo estrutural calibrado (DMP) aos microdados da PNAD Contínua, articulando fundamentos teóricos com evidência empírica para qualificar o debate público e acadêmico sobre emprego juvenil.</w:t>
      </w:r>
    </w:p>
    <w:p w14:paraId="2D0D3E96" w14:textId="77777777" w:rsidR="003B7FBE" w:rsidRDefault="003B7FBE">
      <w:pPr>
        <w:jc w:val="both"/>
        <w:rPr>
          <w:rFonts w:ascii="Times New Roman" w:eastAsia="Times New Roman" w:hAnsi="Times New Roman" w:cs="Times New Roman"/>
          <w:sz w:val="24"/>
          <w:szCs w:val="24"/>
        </w:rPr>
      </w:pPr>
    </w:p>
    <w:p w14:paraId="2D0D3E97" w14:textId="5973F159" w:rsidR="003B7FBE" w:rsidRDefault="00AE3682">
      <w:pPr>
        <w:ind w:left="72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Ao mapear as transformações no funcionamento do mercado de trabalho juvenil antes, durante e após a pandemia, este estudo </w:t>
      </w:r>
      <w:r w:rsidR="003C17B1">
        <w:rPr>
          <w:rFonts w:ascii="Times New Roman" w:eastAsia="Times New Roman" w:hAnsi="Times New Roman" w:cs="Times New Roman"/>
          <w:sz w:val="24"/>
          <w:szCs w:val="24"/>
        </w:rPr>
        <w:t>adiciona ao estoque acadêmico</w:t>
      </w:r>
      <w:r>
        <w:rPr>
          <w:rFonts w:ascii="Times New Roman" w:eastAsia="Times New Roman" w:hAnsi="Times New Roman" w:cs="Times New Roman"/>
          <w:sz w:val="24"/>
          <w:szCs w:val="24"/>
        </w:rPr>
        <w:t xml:space="preserve"> insumos concretos para o desenho de políticas públicas mais eficazes, direcionadas e baseadas em evidência, com vistas à melhoria da empregabilidade e à redução das desigualdades estruturais entre os jovens brasileiros.</w:t>
      </w:r>
    </w:p>
    <w:p w14:paraId="2D0D3E98" w14:textId="77777777" w:rsidR="003B7FBE" w:rsidRDefault="003B7FBE">
      <w:pPr>
        <w:ind w:left="720"/>
        <w:jc w:val="both"/>
        <w:rPr>
          <w:rFonts w:ascii="Times New Roman" w:eastAsia="Times New Roman" w:hAnsi="Times New Roman" w:cs="Times New Roman"/>
          <w:sz w:val="24"/>
          <w:szCs w:val="24"/>
        </w:rPr>
      </w:pPr>
    </w:p>
    <w:p w14:paraId="2D0D3E99" w14:textId="77777777" w:rsidR="003B7FBE" w:rsidRDefault="00AE3682">
      <w:pPr>
        <w:pStyle w:val="Ttulo2"/>
        <w:numPr>
          <w:ilvl w:val="0"/>
          <w:numId w:val="1"/>
        </w:numPr>
        <w:jc w:val="both"/>
      </w:pPr>
      <w:bookmarkStart w:id="6" w:name="_f32y5qm5ep2a" w:colFirst="0" w:colLast="0"/>
      <w:bookmarkEnd w:id="6"/>
      <w:r>
        <w:rPr>
          <w:rFonts w:ascii="Times New Roman" w:eastAsia="Times New Roman" w:hAnsi="Times New Roman" w:cs="Times New Roman"/>
        </w:rPr>
        <w:t>Perguntas da Pesquisa</w:t>
      </w:r>
    </w:p>
    <w:p w14:paraId="2D0D3E9A" w14:textId="77777777" w:rsidR="003B7FBE" w:rsidRDefault="003B7FBE">
      <w:pPr>
        <w:ind w:left="720"/>
        <w:jc w:val="both"/>
        <w:rPr>
          <w:rFonts w:ascii="Times New Roman" w:eastAsia="Times New Roman" w:hAnsi="Times New Roman" w:cs="Times New Roman"/>
          <w:sz w:val="24"/>
          <w:szCs w:val="24"/>
        </w:rPr>
      </w:pPr>
    </w:p>
    <w:p w14:paraId="2D0D3E9B" w14:textId="77777777" w:rsidR="003B7FBE" w:rsidRDefault="00AE3682">
      <w:pPr>
        <w:numPr>
          <w:ilvl w:val="0"/>
          <w:numId w:val="2"/>
        </w:numPr>
        <w:pBdr>
          <w:top w:val="nil"/>
          <w:left w:val="nil"/>
          <w:bottom w:val="nil"/>
          <w:right w:val="nil"/>
          <w:between w:val="nil"/>
        </w:pBdr>
        <w:jc w:val="both"/>
        <w:rPr>
          <w:sz w:val="24"/>
          <w:szCs w:val="24"/>
        </w:rPr>
      </w:pPr>
      <w:r>
        <w:rPr>
          <w:rFonts w:ascii="Times New Roman" w:eastAsia="Times New Roman" w:hAnsi="Times New Roman" w:cs="Times New Roman"/>
          <w:sz w:val="24"/>
          <w:szCs w:val="24"/>
        </w:rPr>
        <w:t xml:space="preserve">Quais as probabilidades de os jovens estarem desempregados </w:t>
      </w:r>
      <w:r>
        <w:rPr>
          <w:rFonts w:ascii="Times New Roman" w:eastAsia="Times New Roman" w:hAnsi="Times New Roman" w:cs="Times New Roman"/>
          <w:color w:val="000000"/>
          <w:sz w:val="24"/>
          <w:szCs w:val="24"/>
        </w:rPr>
        <w:t>antes, durante e no pós-pandemia, controladas por diferentes caraterísticas (sexo, raça, escolaridade e origem)?</w:t>
      </w:r>
    </w:p>
    <w:p w14:paraId="2D0D3E9C" w14:textId="77777777" w:rsidR="003B7FBE" w:rsidRDefault="003B7FBE">
      <w:pPr>
        <w:pBdr>
          <w:top w:val="nil"/>
          <w:left w:val="nil"/>
          <w:bottom w:val="nil"/>
          <w:right w:val="nil"/>
          <w:between w:val="nil"/>
        </w:pBdr>
        <w:ind w:left="1080"/>
        <w:jc w:val="both"/>
        <w:rPr>
          <w:rFonts w:ascii="Times New Roman" w:eastAsia="Times New Roman" w:hAnsi="Times New Roman" w:cs="Times New Roman"/>
          <w:sz w:val="24"/>
          <w:szCs w:val="24"/>
        </w:rPr>
      </w:pPr>
    </w:p>
    <w:p w14:paraId="2D0D3E9D" w14:textId="77777777" w:rsidR="003B7FBE" w:rsidRDefault="00AE3682">
      <w:pPr>
        <w:numPr>
          <w:ilvl w:val="0"/>
          <w:numId w:val="2"/>
        </w:numPr>
        <w:pBdr>
          <w:top w:val="nil"/>
          <w:left w:val="nil"/>
          <w:bottom w:val="nil"/>
          <w:right w:val="nil"/>
          <w:between w:val="nil"/>
        </w:pBdr>
        <w:jc w:val="both"/>
        <w:rPr>
          <w:sz w:val="24"/>
          <w:szCs w:val="24"/>
        </w:rPr>
      </w:pPr>
      <w:r>
        <w:rPr>
          <w:rFonts w:ascii="Times New Roman" w:eastAsia="Times New Roman" w:hAnsi="Times New Roman" w:cs="Times New Roman"/>
          <w:color w:val="000000"/>
          <w:sz w:val="24"/>
          <w:szCs w:val="24"/>
        </w:rPr>
        <w:t>Qual características tornam os jovens mais vulneráveis ao choque decorrente da pandemia?</w:t>
      </w:r>
    </w:p>
    <w:p w14:paraId="2D0D3E9E" w14:textId="77777777" w:rsidR="003B7FBE" w:rsidRDefault="003B7FBE">
      <w:pPr>
        <w:pBdr>
          <w:top w:val="nil"/>
          <w:left w:val="nil"/>
          <w:bottom w:val="nil"/>
          <w:right w:val="nil"/>
          <w:between w:val="nil"/>
        </w:pBdr>
        <w:jc w:val="both"/>
        <w:rPr>
          <w:rFonts w:ascii="Times New Roman" w:eastAsia="Times New Roman" w:hAnsi="Times New Roman" w:cs="Times New Roman"/>
          <w:sz w:val="24"/>
          <w:szCs w:val="24"/>
        </w:rPr>
      </w:pPr>
    </w:p>
    <w:p w14:paraId="2D0D3E9F" w14:textId="77777777" w:rsidR="003B7FBE" w:rsidRDefault="00AE3682">
      <w:pPr>
        <w:numPr>
          <w:ilvl w:val="0"/>
          <w:numId w:val="2"/>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No caso de deterioração das condições de empregabilidade juvenil, há uma melhora no pós-pandemia, ou persistência?</w:t>
      </w:r>
    </w:p>
    <w:p w14:paraId="2D0D3EA0" w14:textId="77777777" w:rsidR="003B7FBE" w:rsidRDefault="00AE3682">
      <w:pPr>
        <w:rPr>
          <w:rFonts w:ascii="Times New Roman" w:eastAsia="Times New Roman" w:hAnsi="Times New Roman" w:cs="Times New Roman"/>
          <w:color w:val="000000"/>
          <w:sz w:val="24"/>
          <w:szCs w:val="24"/>
        </w:rPr>
      </w:pPr>
      <w:r>
        <w:br w:type="page"/>
      </w:r>
    </w:p>
    <w:p w14:paraId="2D0D3EA1" w14:textId="77777777" w:rsidR="003B7FBE" w:rsidRDefault="00AE3682">
      <w:pPr>
        <w:pStyle w:val="Ttulo2"/>
        <w:numPr>
          <w:ilvl w:val="0"/>
          <w:numId w:val="1"/>
        </w:numPr>
        <w:jc w:val="both"/>
      </w:pPr>
      <w:bookmarkStart w:id="7" w:name="_gfvg8inrrvko" w:colFirst="0" w:colLast="0"/>
      <w:bookmarkEnd w:id="7"/>
      <w:r>
        <w:rPr>
          <w:rFonts w:ascii="Times New Roman" w:eastAsia="Times New Roman" w:hAnsi="Times New Roman" w:cs="Times New Roman"/>
        </w:rPr>
        <w:lastRenderedPageBreak/>
        <w:t>Objetivos</w:t>
      </w:r>
    </w:p>
    <w:p w14:paraId="2D0D3EA2" w14:textId="77777777" w:rsidR="003B7FBE" w:rsidRDefault="003B7FBE"/>
    <w:p w14:paraId="2D0D3EA3" w14:textId="77777777" w:rsidR="003B7FBE" w:rsidRDefault="00AE3682">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Objetivo Geral:</w:t>
      </w:r>
    </w:p>
    <w:p w14:paraId="2D0D3EA4" w14:textId="77777777" w:rsidR="003B7FBE" w:rsidRDefault="003B7FBE">
      <w:pPr>
        <w:rPr>
          <w:rFonts w:ascii="Times New Roman" w:eastAsia="Times New Roman" w:hAnsi="Times New Roman" w:cs="Times New Roman"/>
          <w:sz w:val="24"/>
          <w:szCs w:val="24"/>
        </w:rPr>
      </w:pPr>
    </w:p>
    <w:p w14:paraId="2D0D3EA5" w14:textId="1E6D523E"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Investigar os efeitos da pandemia de COVID-19 sobre o mercado de trabalho juvenil brasileiro, analisando as mudanças nas probabilidades de transição ocupacional, nas desigualdades de acesso ao emprego</w:t>
      </w:r>
      <w:r w:rsidR="000876A1">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e na estrutura de emparelhamento entre jovens e vagas, com base em microdados da PNAD Contínua Trimestral e dados administrativos do Novo CAGED, à luz do modelo teórico de busca 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w:t>
      </w:r>
    </w:p>
    <w:p w14:paraId="2D0D3EA6" w14:textId="77777777" w:rsidR="003B7FBE" w:rsidRDefault="003B7FBE">
      <w:pPr>
        <w:rPr>
          <w:rFonts w:ascii="Times New Roman" w:eastAsia="Times New Roman" w:hAnsi="Times New Roman" w:cs="Times New Roman"/>
          <w:sz w:val="24"/>
          <w:szCs w:val="24"/>
        </w:rPr>
      </w:pPr>
    </w:p>
    <w:p w14:paraId="2D0D3EA7" w14:textId="77777777" w:rsidR="003B7FBE" w:rsidRDefault="00AE3682">
      <w:pPr>
        <w:ind w:firstLine="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Objetivos Específicos:</w:t>
      </w:r>
    </w:p>
    <w:p w14:paraId="2D0D3EA8" w14:textId="77777777" w:rsidR="003B7FBE" w:rsidRDefault="003B7FBE">
      <w:pPr>
        <w:rPr>
          <w:rFonts w:ascii="Times New Roman" w:eastAsia="Times New Roman" w:hAnsi="Times New Roman" w:cs="Times New Roman"/>
          <w:sz w:val="24"/>
          <w:szCs w:val="24"/>
        </w:rPr>
      </w:pPr>
    </w:p>
    <w:p w14:paraId="2D0D3EA9" w14:textId="75AF1B6A"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Construir matrizes de transição ocupacional à </w:t>
      </w:r>
      <w:proofErr w:type="spellStart"/>
      <w:r>
        <w:rPr>
          <w:rFonts w:ascii="Times New Roman" w:eastAsia="Times New Roman" w:hAnsi="Times New Roman" w:cs="Times New Roman"/>
          <w:sz w:val="24"/>
          <w:szCs w:val="24"/>
        </w:rPr>
        <w:t>la</w:t>
      </w:r>
      <w:proofErr w:type="spellEnd"/>
      <w:r>
        <w:rPr>
          <w:rFonts w:ascii="Times New Roman" w:eastAsia="Times New Roman" w:hAnsi="Times New Roman" w:cs="Times New Roman"/>
          <w:sz w:val="24"/>
          <w:szCs w:val="24"/>
        </w:rPr>
        <w:t xml:space="preserve"> Markov, com base em microdados da PNAD Contínua, para estimar as probabilidades condicionais de permanência ou saída do desemprego entre os jovens (14–29 anos), segmentadas por período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 xml:space="preserve">-pandemia, </w:t>
      </w:r>
      <w:r w:rsidR="000876A1">
        <w:rPr>
          <w:rFonts w:ascii="Times New Roman" w:eastAsia="Times New Roman" w:hAnsi="Times New Roman" w:cs="Times New Roman"/>
          <w:sz w:val="24"/>
          <w:szCs w:val="24"/>
        </w:rPr>
        <w:t xml:space="preserve">durante </w:t>
      </w:r>
      <w:r>
        <w:rPr>
          <w:rFonts w:ascii="Times New Roman" w:eastAsia="Times New Roman" w:hAnsi="Times New Roman" w:cs="Times New Roman"/>
          <w:sz w:val="24"/>
          <w:szCs w:val="24"/>
        </w:rPr>
        <w:t>pandemia e pós-pandemia).</w:t>
      </w:r>
    </w:p>
    <w:p w14:paraId="2D0D3EAA" w14:textId="77777777" w:rsidR="003B7FBE" w:rsidRDefault="003B7FBE">
      <w:pPr>
        <w:rPr>
          <w:rFonts w:ascii="Times New Roman" w:eastAsia="Times New Roman" w:hAnsi="Times New Roman" w:cs="Times New Roman"/>
          <w:sz w:val="24"/>
          <w:szCs w:val="24"/>
        </w:rPr>
      </w:pPr>
    </w:p>
    <w:p w14:paraId="2D0D3EAB" w14:textId="298AA3CB"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Mensurar os efeitos heterogêneos da pandemia sobre a transição ocupacional dos jovens, aplicando regressões logísticas e modelos de Diferenças-em-Diferenças (DIF-in-DIF) com interações para identificar os impactos diferenciados por sexo, raça, escolaridade</w:t>
      </w:r>
      <w:r w:rsidR="000876A1">
        <w:rPr>
          <w:rFonts w:ascii="Times New Roman" w:eastAsia="Times New Roman" w:hAnsi="Times New Roman" w:cs="Times New Roman"/>
          <w:sz w:val="24"/>
          <w:szCs w:val="24"/>
        </w:rPr>
        <w:t>, faixa etária</w:t>
      </w:r>
      <w:r>
        <w:rPr>
          <w:rFonts w:ascii="Times New Roman" w:eastAsia="Times New Roman" w:hAnsi="Times New Roman" w:cs="Times New Roman"/>
          <w:sz w:val="24"/>
          <w:szCs w:val="24"/>
        </w:rPr>
        <w:t xml:space="preserve"> e localização geográfica.</w:t>
      </w:r>
    </w:p>
    <w:p w14:paraId="2D0D3EAC" w14:textId="77777777" w:rsidR="003B7FBE" w:rsidRDefault="003B7FBE">
      <w:pPr>
        <w:rPr>
          <w:rFonts w:ascii="Times New Roman" w:eastAsia="Times New Roman" w:hAnsi="Times New Roman" w:cs="Times New Roman"/>
          <w:sz w:val="24"/>
          <w:szCs w:val="24"/>
        </w:rPr>
      </w:pPr>
    </w:p>
    <w:p w14:paraId="2D0D3EAD"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Estimar a eficiência do emparelhamento entre trabalhadores e vagas, por meio da função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do tipo Cobb-Douglas, identificando choques de eficiência e desalinhamentos estruturais no mercado de trabalho juvenil ao longo do período analisado.</w:t>
      </w:r>
    </w:p>
    <w:p w14:paraId="2D0D3EAE" w14:textId="77777777" w:rsidR="003B7FBE" w:rsidRDefault="003B7FBE">
      <w:pPr>
        <w:rPr>
          <w:rFonts w:ascii="Times New Roman" w:eastAsia="Times New Roman" w:hAnsi="Times New Roman" w:cs="Times New Roman"/>
          <w:sz w:val="24"/>
          <w:szCs w:val="24"/>
        </w:rPr>
      </w:pPr>
    </w:p>
    <w:p w14:paraId="2D0D3EAF"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Aplicar e calibrar o modelo estrutural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em equilíbrio estacionário, utilizando os parâmetros empíricos estimados (taxas de desemprego, separação,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para calcular a produtividade, salários de barganha e custo de manutenção de vaga para o mercado de jovens.</w:t>
      </w:r>
    </w:p>
    <w:p w14:paraId="2D0D3EB0" w14:textId="77777777" w:rsidR="003B7FBE" w:rsidRDefault="003B7FBE">
      <w:pPr>
        <w:rPr>
          <w:rFonts w:ascii="Times New Roman" w:eastAsia="Times New Roman" w:hAnsi="Times New Roman" w:cs="Times New Roman"/>
          <w:sz w:val="24"/>
          <w:szCs w:val="24"/>
        </w:rPr>
      </w:pPr>
    </w:p>
    <w:p w14:paraId="2D0D3EB1" w14:textId="3126BF99"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Comparar os equilíbrios estruturais estimados para os períodos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 xml:space="preserve">-pandemia, </w:t>
      </w:r>
      <w:r w:rsidR="002129BD">
        <w:rPr>
          <w:rFonts w:ascii="Times New Roman" w:eastAsia="Times New Roman" w:hAnsi="Times New Roman" w:cs="Times New Roman"/>
          <w:sz w:val="24"/>
          <w:szCs w:val="24"/>
        </w:rPr>
        <w:t xml:space="preserve">durante </w:t>
      </w:r>
      <w:r>
        <w:rPr>
          <w:rFonts w:ascii="Times New Roman" w:eastAsia="Times New Roman" w:hAnsi="Times New Roman" w:cs="Times New Roman"/>
          <w:sz w:val="24"/>
          <w:szCs w:val="24"/>
        </w:rPr>
        <w:t>pandemia e pós-pandemia, avaliando se houve retorno às condições anteriores, reestruturação do mercado ou persistência dos efeitos do choque pandêmico sobre a juventude.</w:t>
      </w:r>
    </w:p>
    <w:p w14:paraId="2D0D3EB2" w14:textId="77777777" w:rsidR="003B7FBE" w:rsidRDefault="003B7FBE">
      <w:pPr>
        <w:rPr>
          <w:rFonts w:ascii="Times New Roman" w:eastAsia="Times New Roman" w:hAnsi="Times New Roman" w:cs="Times New Roman"/>
          <w:sz w:val="24"/>
          <w:szCs w:val="24"/>
        </w:rPr>
      </w:pPr>
    </w:p>
    <w:p w14:paraId="2D0D3EB3" w14:textId="77777777" w:rsidR="003B7FBE" w:rsidRDefault="00AE3682">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Subsidiar o debate sobre políticas públicas de inserção juvenil no mercado de trabalho, com base em evidências teóricas e empíricas sobre as fricções, desigualdades e oportunidades que caracterizam a trajetória ocupacional da juventude brasileira.</w:t>
      </w:r>
    </w:p>
    <w:p w14:paraId="2D0D3EB4" w14:textId="77777777" w:rsidR="003B7FBE" w:rsidRDefault="003B7FBE">
      <w:pPr>
        <w:ind w:left="720"/>
        <w:jc w:val="both"/>
        <w:rPr>
          <w:rFonts w:ascii="Times New Roman" w:eastAsia="Times New Roman" w:hAnsi="Times New Roman" w:cs="Times New Roman"/>
          <w:sz w:val="24"/>
          <w:szCs w:val="24"/>
        </w:rPr>
      </w:pPr>
    </w:p>
    <w:p w14:paraId="2D0D3EB5" w14:textId="77777777" w:rsidR="003B7FBE" w:rsidRDefault="00AE3682">
      <w:pPr>
        <w:pStyle w:val="Ttulo2"/>
        <w:numPr>
          <w:ilvl w:val="0"/>
          <w:numId w:val="1"/>
        </w:numPr>
        <w:jc w:val="both"/>
      </w:pPr>
      <w:bookmarkStart w:id="8" w:name="_cx4ekaekf09b" w:colFirst="0" w:colLast="0"/>
      <w:bookmarkEnd w:id="8"/>
      <w:r>
        <w:rPr>
          <w:rFonts w:ascii="Times New Roman" w:eastAsia="Times New Roman" w:hAnsi="Times New Roman" w:cs="Times New Roman"/>
        </w:rPr>
        <w:lastRenderedPageBreak/>
        <w:t>Declaração da Tese</w:t>
      </w:r>
    </w:p>
    <w:p w14:paraId="2D0D3EB6" w14:textId="77777777" w:rsidR="003B7FBE" w:rsidRDefault="003B7FBE">
      <w:pPr>
        <w:pStyle w:val="Ttulo1"/>
        <w:jc w:val="both"/>
        <w:rPr>
          <w:rFonts w:ascii="Times New Roman" w:eastAsia="Times New Roman" w:hAnsi="Times New Roman" w:cs="Times New Roman"/>
        </w:rPr>
      </w:pPr>
    </w:p>
    <w:p w14:paraId="2D0D3EB7" w14:textId="17A4E629" w:rsidR="003B7FBE" w:rsidRDefault="00AE3682">
      <w:pPr>
        <w:ind w:left="720"/>
        <w:jc w:val="both"/>
        <w:rPr>
          <w:rFonts w:ascii="Times New Roman" w:eastAsia="Times New Roman" w:hAnsi="Times New Roman" w:cs="Times New Roman"/>
          <w:sz w:val="24"/>
          <w:szCs w:val="24"/>
        </w:rPr>
      </w:pPr>
      <w:bookmarkStart w:id="9" w:name="_4spodxq3til1" w:colFirst="0" w:colLast="0"/>
      <w:bookmarkEnd w:id="9"/>
      <w:r>
        <w:rPr>
          <w:rFonts w:ascii="Times New Roman" w:eastAsia="Times New Roman" w:hAnsi="Times New Roman" w:cs="Times New Roman"/>
          <w:sz w:val="24"/>
          <w:szCs w:val="24"/>
        </w:rPr>
        <w:t xml:space="preserve">A pandemia reduziu ainda mais as chances, já declinantes, de jovens de baixa qualificação serem empregados no mercado de trabalho formal no Brasil. </w:t>
      </w:r>
      <w:r w:rsidR="00EC0F52">
        <w:rPr>
          <w:rFonts w:ascii="Times New Roman" w:eastAsia="Times New Roman" w:hAnsi="Times New Roman" w:cs="Times New Roman"/>
          <w:sz w:val="24"/>
          <w:szCs w:val="24"/>
        </w:rPr>
        <w:t>Por outro lado, a emergência, dado as restrições pandêmicas, de nov</w:t>
      </w:r>
      <w:r w:rsidR="00B7771B">
        <w:rPr>
          <w:rFonts w:ascii="Times New Roman" w:eastAsia="Times New Roman" w:hAnsi="Times New Roman" w:cs="Times New Roman"/>
          <w:sz w:val="24"/>
          <w:szCs w:val="24"/>
        </w:rPr>
        <w:t>a</w:t>
      </w:r>
      <w:r w:rsidR="00EC0F52">
        <w:rPr>
          <w:rFonts w:ascii="Times New Roman" w:eastAsia="Times New Roman" w:hAnsi="Times New Roman" w:cs="Times New Roman"/>
          <w:sz w:val="24"/>
          <w:szCs w:val="24"/>
        </w:rPr>
        <w:t xml:space="preserve">s </w:t>
      </w:r>
      <w:r w:rsidR="002451C4">
        <w:rPr>
          <w:rFonts w:ascii="Times New Roman" w:eastAsia="Times New Roman" w:hAnsi="Times New Roman" w:cs="Times New Roman"/>
          <w:sz w:val="24"/>
          <w:szCs w:val="24"/>
        </w:rPr>
        <w:t xml:space="preserve">tecnologias de serviços, como de transporte e </w:t>
      </w:r>
      <w:proofErr w:type="spellStart"/>
      <w:r w:rsidR="002451C4">
        <w:rPr>
          <w:rFonts w:ascii="Times New Roman" w:eastAsia="Times New Roman" w:hAnsi="Times New Roman" w:cs="Times New Roman"/>
          <w:sz w:val="24"/>
          <w:szCs w:val="24"/>
        </w:rPr>
        <w:t>dellivery</w:t>
      </w:r>
      <w:proofErr w:type="spellEnd"/>
      <w:r w:rsidR="002451C4">
        <w:rPr>
          <w:rFonts w:ascii="Times New Roman" w:eastAsia="Times New Roman" w:hAnsi="Times New Roman" w:cs="Times New Roman"/>
          <w:sz w:val="24"/>
          <w:szCs w:val="24"/>
        </w:rPr>
        <w:t xml:space="preserve">, tem </w:t>
      </w:r>
      <w:r w:rsidR="00B7771B">
        <w:rPr>
          <w:rFonts w:ascii="Times New Roman" w:eastAsia="Times New Roman" w:hAnsi="Times New Roman" w:cs="Times New Roman"/>
          <w:sz w:val="24"/>
          <w:szCs w:val="24"/>
        </w:rPr>
        <w:t>promovido a inclusão de muitos jovens que poderiam ter migrado para o desalento.</w:t>
      </w:r>
    </w:p>
    <w:p w14:paraId="2D0D3EB8" w14:textId="77777777" w:rsidR="003B7FBE" w:rsidRDefault="003B7FBE">
      <w:pPr>
        <w:ind w:left="720"/>
        <w:jc w:val="both"/>
        <w:rPr>
          <w:rFonts w:ascii="Times New Roman" w:eastAsia="Times New Roman" w:hAnsi="Times New Roman" w:cs="Times New Roman"/>
          <w:sz w:val="24"/>
          <w:szCs w:val="24"/>
        </w:rPr>
      </w:pPr>
    </w:p>
    <w:p w14:paraId="2D0D3EB9" w14:textId="77777777" w:rsidR="003B7FBE" w:rsidRDefault="003B7FBE">
      <w:pPr>
        <w:jc w:val="both"/>
        <w:rPr>
          <w:rFonts w:ascii="Times New Roman" w:eastAsia="Times New Roman" w:hAnsi="Times New Roman" w:cs="Times New Roman"/>
          <w:b/>
          <w:sz w:val="24"/>
          <w:szCs w:val="24"/>
        </w:rPr>
      </w:pPr>
    </w:p>
    <w:p w14:paraId="2D0D3EBA" w14:textId="77777777" w:rsidR="003B7FBE" w:rsidRDefault="00AE3682">
      <w:pPr>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t>REVISÃO DA LITERATURA</w:t>
      </w:r>
    </w:p>
    <w:p w14:paraId="2D0D3EBB" w14:textId="77777777" w:rsidR="003B7FBE" w:rsidRDefault="003B7FBE">
      <w:pPr>
        <w:jc w:val="both"/>
        <w:rPr>
          <w:rFonts w:ascii="Times New Roman" w:eastAsia="Times New Roman" w:hAnsi="Times New Roman" w:cs="Times New Roman"/>
          <w:b/>
          <w:sz w:val="24"/>
          <w:szCs w:val="24"/>
        </w:rPr>
      </w:pPr>
    </w:p>
    <w:p w14:paraId="2D0D3EBC" w14:textId="77777777" w:rsidR="003B7FBE" w:rsidRDefault="00AE3682">
      <w:pPr>
        <w:pStyle w:val="Ttulo2"/>
        <w:numPr>
          <w:ilvl w:val="0"/>
          <w:numId w:val="1"/>
        </w:numPr>
        <w:jc w:val="both"/>
      </w:pPr>
      <w:bookmarkStart w:id="10" w:name="_nefyzm1zjtwh" w:colFirst="0" w:colLast="0"/>
      <w:bookmarkEnd w:id="10"/>
      <w:r>
        <w:rPr>
          <w:rFonts w:ascii="Times New Roman" w:eastAsia="Times New Roman" w:hAnsi="Times New Roman" w:cs="Times New Roman"/>
        </w:rPr>
        <w:t>Referencial Teórico</w:t>
      </w:r>
    </w:p>
    <w:p w14:paraId="2D0D3EBD" w14:textId="77777777" w:rsidR="003B7FBE" w:rsidRDefault="003B7FBE">
      <w:pPr>
        <w:pStyle w:val="Ttulo2"/>
        <w:ind w:firstLine="360"/>
        <w:jc w:val="both"/>
        <w:rPr>
          <w:rFonts w:ascii="Times New Roman" w:eastAsia="Times New Roman" w:hAnsi="Times New Roman" w:cs="Times New Roman"/>
        </w:rPr>
      </w:pPr>
      <w:bookmarkStart w:id="11" w:name="_vvo1l2a27t" w:colFirst="0" w:colLast="0"/>
      <w:bookmarkEnd w:id="11"/>
    </w:p>
    <w:p w14:paraId="2D0D3EBE"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aprofundamento das desigualdades pré-existentes antes da pandemia levou vários círculos de investigação nas ciências sociais a medir o impacto da crise na qualidade de vida, especialmente nas fontes de rendimento. Utilizando dados sociodemográficos coletados em pesquisa transversal, Andrade et al. (2024) analisaram dados de perda de emprego durante a pandemia de COVID-19 no país, controlando vários fatores, e descobriram que os trabalhadores mais jovens e com menor escolaridade, especialmente as mulheres, enfrentavam as taxas de desemprego mais elevadas. Utilizando a regressão OLS nos dados da PNAD, Camargo e </w:t>
      </w:r>
      <w:proofErr w:type="spellStart"/>
      <w:r>
        <w:rPr>
          <w:rFonts w:ascii="Times New Roman" w:eastAsia="Times New Roman" w:hAnsi="Times New Roman" w:cs="Times New Roman"/>
          <w:sz w:val="24"/>
          <w:szCs w:val="24"/>
        </w:rPr>
        <w:t>Tessmann</w:t>
      </w:r>
      <w:proofErr w:type="spellEnd"/>
      <w:r>
        <w:rPr>
          <w:rFonts w:ascii="Times New Roman" w:eastAsia="Times New Roman" w:hAnsi="Times New Roman" w:cs="Times New Roman"/>
          <w:sz w:val="24"/>
          <w:szCs w:val="24"/>
        </w:rPr>
        <w:t xml:space="preserve"> (2023) investigaram este impacto no emprego jovem, descobrindo uma variabilidade significativa nas perdas de emprego entre este segmento populacional, com a conclusão de que os grupos de baixa renda per capita sofreram mais. Nessa linha, estudos como os de </w:t>
      </w:r>
      <w:proofErr w:type="spellStart"/>
      <w:r>
        <w:rPr>
          <w:rFonts w:ascii="Times New Roman" w:eastAsia="Times New Roman" w:hAnsi="Times New Roman" w:cs="Times New Roman"/>
          <w:sz w:val="24"/>
          <w:szCs w:val="24"/>
        </w:rPr>
        <w:t>Javaroni</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Lehfeld</w:t>
      </w:r>
      <w:proofErr w:type="spellEnd"/>
      <w:r>
        <w:rPr>
          <w:rFonts w:ascii="Times New Roman" w:eastAsia="Times New Roman" w:hAnsi="Times New Roman" w:cs="Times New Roman"/>
          <w:sz w:val="24"/>
          <w:szCs w:val="24"/>
        </w:rPr>
        <w:t xml:space="preserve"> (2023) ampliaram seu foco para investigar os efeitos persistentes do choque econômico e social causado pela pandemia, destacando a exacerbação das taxas de abandono escolar e das condições de trabalho precárias, que persistem entre os jovens negros e pardos de baixa renda. Como apontam Guimarães e Mendes (2022), esses fatores amplificam a informalidade no mercado de trabalho e o desalento em períodos de restrição social. É o que mostram os dados da PNAD Contínua do 1º trimestre de 2024, analisados ​​por Feijó e </w:t>
      </w:r>
      <w:proofErr w:type="spellStart"/>
      <w:r>
        <w:rPr>
          <w:rFonts w:ascii="Times New Roman" w:eastAsia="Times New Roman" w:hAnsi="Times New Roman" w:cs="Times New Roman"/>
          <w:sz w:val="24"/>
          <w:szCs w:val="24"/>
        </w:rPr>
        <w:t>Peruchetti</w:t>
      </w:r>
      <w:proofErr w:type="spellEnd"/>
      <w:r>
        <w:rPr>
          <w:rFonts w:ascii="Times New Roman" w:eastAsia="Times New Roman" w:hAnsi="Times New Roman" w:cs="Times New Roman"/>
          <w:sz w:val="24"/>
          <w:szCs w:val="24"/>
        </w:rPr>
        <w:t xml:space="preserve"> (2024); a taxa de participação dos jovens permanece abaixo dos níveis </w:t>
      </w:r>
      <w:proofErr w:type="spellStart"/>
      <w:r>
        <w:rPr>
          <w:rFonts w:ascii="Times New Roman" w:eastAsia="Times New Roman" w:hAnsi="Times New Roman" w:cs="Times New Roman"/>
          <w:sz w:val="24"/>
          <w:szCs w:val="24"/>
        </w:rPr>
        <w:t>pré</w:t>
      </w:r>
      <w:proofErr w:type="spellEnd"/>
      <w:r>
        <w:rPr>
          <w:rFonts w:ascii="Times New Roman" w:eastAsia="Times New Roman" w:hAnsi="Times New Roman" w:cs="Times New Roman"/>
          <w:sz w:val="24"/>
          <w:szCs w:val="24"/>
        </w:rPr>
        <w:t>-pandemia, apesar de uma forte melhoria no mercado de trabalho nesse mesmo ano, com níveis mais baixos nas regiões Norte e Nordeste do país.</w:t>
      </w:r>
    </w:p>
    <w:p w14:paraId="2D0D3EBF" w14:textId="77777777" w:rsidR="003B7FBE" w:rsidRDefault="003B7FBE">
      <w:pPr>
        <w:ind w:left="708"/>
        <w:jc w:val="both"/>
        <w:rPr>
          <w:rFonts w:ascii="Times New Roman" w:eastAsia="Times New Roman" w:hAnsi="Times New Roman" w:cs="Times New Roman"/>
          <w:sz w:val="24"/>
          <w:szCs w:val="24"/>
        </w:rPr>
      </w:pPr>
    </w:p>
    <w:p w14:paraId="2D0D3EC0"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literatura sobre o mercado de trabalho juvenil destaca sua condição estrutural de vulnerabilidade frente aos processos de inserção, permanência e mobilidade ocupacional. Jovens, sobretudo aqueles de escolaridade média ou inferior, são desproporcionalmente representados entre os desempregados, os trabalhadores informais e os subutilizados, o que configura um padrão persistente de desvantagem (Pastore, 2019). Esses desafios são agravados por fatores interseccionais, como gênero, raça e território, e por uma dinâmica produtiva que muitas vezes exclui os mais jovens dos setores de maior qualidade ocupacional (Guimarães et al., 2021).</w:t>
      </w:r>
    </w:p>
    <w:p w14:paraId="2D0D3EC1" w14:textId="77777777" w:rsidR="003B7FBE" w:rsidRDefault="003B7FBE">
      <w:pPr>
        <w:ind w:left="708"/>
        <w:jc w:val="both"/>
        <w:rPr>
          <w:rFonts w:ascii="Times New Roman" w:eastAsia="Times New Roman" w:hAnsi="Times New Roman" w:cs="Times New Roman"/>
          <w:sz w:val="24"/>
          <w:szCs w:val="24"/>
        </w:rPr>
      </w:pPr>
    </w:p>
    <w:p w14:paraId="2D0D3EC2"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 ponto de vista analítico, a abordagem tradicional baseada em modelos neoclássicos de oferta e demanda mostra-se insuficiente para compreender as fricções específicas que caracterizam o processo de busca e alocação de trabalhadores no mundo real. Por essa razão, a literatura passou a incorporar modelos de </w:t>
      </w:r>
      <w:proofErr w:type="spellStart"/>
      <w:r>
        <w:rPr>
          <w:rFonts w:ascii="Times New Roman" w:eastAsia="Times New Roman" w:hAnsi="Times New Roman" w:cs="Times New Roman"/>
          <w:sz w:val="24"/>
          <w:szCs w:val="24"/>
        </w:rPr>
        <w:t>search</w:t>
      </w:r>
      <w:proofErr w:type="spellEnd"/>
      <w:r>
        <w:rPr>
          <w:rFonts w:ascii="Times New Roman" w:eastAsia="Times New Roman" w:hAnsi="Times New Roman" w:cs="Times New Roman"/>
          <w:sz w:val="24"/>
          <w:szCs w:val="24"/>
        </w:rPr>
        <w:t xml:space="preserve"> 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que reconhecem a existência de custos informacionais, tempo de espera, assimetrias de informação e decisões estratégicas entre empresas e trabalhadores.</w:t>
      </w:r>
    </w:p>
    <w:p w14:paraId="2D0D3EC3" w14:textId="77777777" w:rsidR="003B7FBE" w:rsidRDefault="003B7FBE">
      <w:pPr>
        <w:ind w:left="708"/>
        <w:jc w:val="both"/>
        <w:rPr>
          <w:rFonts w:ascii="Times New Roman" w:eastAsia="Times New Roman" w:hAnsi="Times New Roman" w:cs="Times New Roman"/>
          <w:sz w:val="24"/>
          <w:szCs w:val="24"/>
        </w:rPr>
      </w:pPr>
    </w:p>
    <w:p w14:paraId="2D0D3EC4"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modelo seminal de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(DMP) (Diamond, 1982; Mortensen, 1982;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1985;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2000) formaliza essa interação por meio de uma função de emparelhamento agregada, que relaciona o número de encontros bem-sucedidos entre trabalhadores e vagas às quantidades relativas de desempregados e postos disponíveis. No equilíbrio, a taxa de desemprego é determinada pela interação entre a taxa de separação (s) e a taxa de contratação (f), que por sua vez depende da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w:t>
      </w:r>
      <w:r>
        <w:rPr>
          <w:rFonts w:ascii="Cambria Math" w:eastAsia="Cambria Math" w:hAnsi="Cambria Math" w:cs="Cambria Math"/>
          <w:sz w:val="24"/>
          <w:szCs w:val="24"/>
        </w:rPr>
        <w:t>𝜃</w:t>
      </w:r>
      <w:r>
        <w:rPr>
          <w:rFonts w:ascii="Times New Roman" w:eastAsia="Times New Roman" w:hAnsi="Times New Roman" w:cs="Times New Roman"/>
          <w:sz w:val="24"/>
          <w:szCs w:val="24"/>
        </w:rPr>
        <w:t>), ou seja, da razão entre vagas abertas e número de desempregados.</w:t>
      </w:r>
    </w:p>
    <w:p w14:paraId="2D0D3EC5" w14:textId="77777777" w:rsidR="003B7FBE" w:rsidRDefault="003B7FBE">
      <w:pPr>
        <w:ind w:left="708"/>
        <w:jc w:val="both"/>
        <w:rPr>
          <w:rFonts w:ascii="Times New Roman" w:eastAsia="Times New Roman" w:hAnsi="Times New Roman" w:cs="Times New Roman"/>
          <w:sz w:val="24"/>
          <w:szCs w:val="24"/>
        </w:rPr>
      </w:pPr>
    </w:p>
    <w:p w14:paraId="2D0D3EC6" w14:textId="2133CAE4"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versão estacionária do modelo, adotada nesta pesquisa, permite investigar a estrutura de incentivos e custos envolvidos na contratação de jovens, bem como simular o impacto de choques exógenos (como a pandemia) sobre as condições de equilíbrio. A função de barganha de Nash, incorporada ao modelo, define os salários como resultado de uma negociação entre empresas e trabalhadores, ponderada por seus respectivos poderes de barganha (</w:t>
      </w:r>
      <w:r>
        <w:rPr>
          <w:rFonts w:ascii="Cambria Math" w:eastAsia="Cambria Math" w:hAnsi="Cambria Math" w:cs="Cambria Math"/>
          <w:sz w:val="24"/>
          <w:szCs w:val="24"/>
        </w:rPr>
        <w:t>𝛽</w:t>
      </w:r>
      <w:r>
        <w:rPr>
          <w:rFonts w:ascii="Times New Roman" w:eastAsia="Times New Roman" w:hAnsi="Times New Roman" w:cs="Times New Roman"/>
          <w:sz w:val="24"/>
          <w:szCs w:val="24"/>
        </w:rPr>
        <w:t>) e pelos valores alternativos disponíveis (</w:t>
      </w:r>
      <w:r w:rsidR="0040541E">
        <w:rPr>
          <w:rFonts w:ascii="Times New Roman" w:eastAsia="Times New Roman" w:hAnsi="Times New Roman" w:cs="Times New Roman"/>
          <w:sz w:val="24"/>
          <w:szCs w:val="24"/>
        </w:rPr>
        <w:t>salário-desemprego</w:t>
      </w:r>
      <w:r>
        <w:rPr>
          <w:rFonts w:ascii="Times New Roman" w:eastAsia="Times New Roman" w:hAnsi="Times New Roman" w:cs="Times New Roman"/>
          <w:sz w:val="24"/>
          <w:szCs w:val="24"/>
        </w:rPr>
        <w:t xml:space="preserve">, </w:t>
      </w:r>
      <w:r>
        <w:rPr>
          <w:rFonts w:ascii="Cambria Math" w:eastAsia="Cambria Math" w:hAnsi="Cambria Math" w:cs="Cambria Math"/>
          <w:sz w:val="24"/>
          <w:szCs w:val="24"/>
        </w:rPr>
        <w:t>𝑧</w:t>
      </w:r>
      <w:r>
        <w:rPr>
          <w:rFonts w:ascii="Times New Roman" w:eastAsia="Times New Roman" w:hAnsi="Times New Roman" w:cs="Times New Roman"/>
          <w:sz w:val="24"/>
          <w:szCs w:val="24"/>
        </w:rPr>
        <w:t>).</w:t>
      </w:r>
    </w:p>
    <w:p w14:paraId="2D0D3EC7" w14:textId="77777777" w:rsidR="003B7FBE" w:rsidRDefault="003B7FBE">
      <w:pPr>
        <w:ind w:left="708"/>
        <w:jc w:val="both"/>
        <w:rPr>
          <w:rFonts w:ascii="Times New Roman" w:eastAsia="Times New Roman" w:hAnsi="Times New Roman" w:cs="Times New Roman"/>
          <w:sz w:val="24"/>
          <w:szCs w:val="24"/>
        </w:rPr>
      </w:pPr>
    </w:p>
    <w:p w14:paraId="2D0D3EC8"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Estudos como </w:t>
      </w:r>
      <w:proofErr w:type="spellStart"/>
      <w:r>
        <w:rPr>
          <w:rFonts w:ascii="Times New Roman" w:eastAsia="Times New Roman" w:hAnsi="Times New Roman" w:cs="Times New Roman"/>
          <w:sz w:val="24"/>
          <w:szCs w:val="24"/>
        </w:rPr>
        <w:t>Acemoglu</w:t>
      </w:r>
      <w:proofErr w:type="spellEnd"/>
      <w:r>
        <w:rPr>
          <w:rFonts w:ascii="Times New Roman" w:eastAsia="Times New Roman" w:hAnsi="Times New Roman" w:cs="Times New Roman"/>
          <w:sz w:val="24"/>
          <w:szCs w:val="24"/>
        </w:rPr>
        <w:t xml:space="preserve"> (2001) e </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(2000) demonstram que choques macroeconômicos podem gerar efeitos persistentes sobre 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e sobre o próprio nível estrutural de desemprego, fenômeno conhecido como histerese. A pandemia de COVID-19 pode ser interpretada, nesse contexto, como um choque de múltiplas frentes: sanitário, econômico, informacional e institucional. Seus efeitos, portanto, não se restringem ao aumento conjuntural do desemprego, mas podem afetar permanentemente os parâmetros que regem o funcionamento do mercado de trabalho.</w:t>
      </w:r>
    </w:p>
    <w:p w14:paraId="2D0D3EC9" w14:textId="77777777" w:rsidR="003B7FBE" w:rsidRDefault="003B7FBE">
      <w:pPr>
        <w:ind w:left="708"/>
        <w:jc w:val="both"/>
        <w:rPr>
          <w:rFonts w:ascii="Times New Roman" w:eastAsia="Times New Roman" w:hAnsi="Times New Roman" w:cs="Times New Roman"/>
          <w:sz w:val="24"/>
          <w:szCs w:val="24"/>
        </w:rPr>
      </w:pPr>
    </w:p>
    <w:p w14:paraId="2D0D3ECA" w14:textId="77777777" w:rsidR="003B7FBE"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literatura brasileira sobre juventude e trabalho reconhece que o acesso ao emprego formal depende não apenas de qualificações individuais, mas também da existência de mecanismos eficientes de intermediação (Carneiro &amp; </w:t>
      </w:r>
      <w:proofErr w:type="spellStart"/>
      <w:r>
        <w:rPr>
          <w:rFonts w:ascii="Times New Roman" w:eastAsia="Times New Roman" w:hAnsi="Times New Roman" w:cs="Times New Roman"/>
          <w:sz w:val="24"/>
          <w:szCs w:val="24"/>
        </w:rPr>
        <w:t>Arbache</w:t>
      </w:r>
      <w:proofErr w:type="spellEnd"/>
      <w:r>
        <w:rPr>
          <w:rFonts w:ascii="Times New Roman" w:eastAsia="Times New Roman" w:hAnsi="Times New Roman" w:cs="Times New Roman"/>
          <w:sz w:val="24"/>
          <w:szCs w:val="24"/>
        </w:rPr>
        <w:t>, 2003), de políticas públicas ativas (MTE, 2021) e de redes sociais ou institucionais que reduzam o custo da busca. A pesquisa aqui apresentada contribui com esse debate ao quantificar, com base empírica robusta, os impactos da pandemia sobre o emparelhamento entre jovens e empregos no Brasil, articulando as desigualdades observadas a um arcabouço teórico macroeconômico formalizado.</w:t>
      </w:r>
    </w:p>
    <w:p w14:paraId="2D0D3ECB" w14:textId="77777777" w:rsidR="003B7FBE" w:rsidRDefault="003B7FBE">
      <w:pPr>
        <w:ind w:left="708"/>
        <w:jc w:val="both"/>
        <w:rPr>
          <w:rFonts w:ascii="Times New Roman" w:eastAsia="Times New Roman" w:hAnsi="Times New Roman" w:cs="Times New Roman"/>
          <w:sz w:val="24"/>
          <w:szCs w:val="24"/>
        </w:rPr>
      </w:pPr>
    </w:p>
    <w:p w14:paraId="2D0D3ECC" w14:textId="380268EA" w:rsidR="00DB0C6B" w:rsidRDefault="00AE3682">
      <w:pPr>
        <w:ind w:left="708"/>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 isso, o referencial teórico do projeto oferece suporte tanto para a construção das hipóteses empíricas (impactos heterogêneos, fricções persistentes, mudança estrutural) quanto para a interpretação dos resultados dos modelos estatísticos e estruturais.</w:t>
      </w:r>
    </w:p>
    <w:p w14:paraId="4F7FAAFB" w14:textId="77777777" w:rsidR="00DB0C6B" w:rsidRDefault="00DB0C6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2D0D3ECE" w14:textId="77777777" w:rsidR="003B7FBE" w:rsidRDefault="00AE3682">
      <w:pPr>
        <w:ind w:left="-283"/>
        <w:jc w:val="both"/>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Quadro Comparativo</w:t>
      </w:r>
    </w:p>
    <w:p w14:paraId="2D0D3ECF" w14:textId="77777777" w:rsidR="003B7FBE" w:rsidRDefault="003B7FBE">
      <w:pPr>
        <w:jc w:val="both"/>
        <w:rPr>
          <w:rFonts w:ascii="Times New Roman" w:eastAsia="Times New Roman" w:hAnsi="Times New Roman" w:cs="Times New Roman"/>
          <w:b/>
          <w:sz w:val="24"/>
          <w:szCs w:val="24"/>
        </w:rPr>
      </w:pPr>
    </w:p>
    <w:tbl>
      <w:tblPr>
        <w:tblStyle w:val="a"/>
        <w:tblW w:w="10065"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1408"/>
        <w:gridCol w:w="1417"/>
        <w:gridCol w:w="1701"/>
        <w:gridCol w:w="1134"/>
        <w:gridCol w:w="992"/>
        <w:gridCol w:w="992"/>
        <w:gridCol w:w="1276"/>
      </w:tblGrid>
      <w:tr w:rsidR="00815147" w14:paraId="2D0D3EDB" w14:textId="2F5B4452" w:rsidTr="00DB0C6B">
        <w:tc>
          <w:tcPr>
            <w:tcW w:w="1145" w:type="dxa"/>
            <w:shd w:val="clear" w:color="auto" w:fill="auto"/>
            <w:tcMar>
              <w:top w:w="100" w:type="dxa"/>
              <w:left w:w="100" w:type="dxa"/>
              <w:bottom w:w="100" w:type="dxa"/>
              <w:right w:w="100" w:type="dxa"/>
            </w:tcMar>
          </w:tcPr>
          <w:p w14:paraId="2D0D3ED0" w14:textId="77777777" w:rsidR="00815147" w:rsidRPr="005D1913" w:rsidRDefault="00815147">
            <w:pPr>
              <w:widowControl w:val="0"/>
              <w:pBdr>
                <w:top w:val="nil"/>
                <w:left w:val="nil"/>
                <w:bottom w:val="nil"/>
                <w:right w:val="nil"/>
                <w:between w:val="nil"/>
              </w:pBdr>
              <w:spacing w:line="240" w:lineRule="auto"/>
              <w:ind w:left="-850"/>
              <w:jc w:val="both"/>
              <w:rPr>
                <w:rFonts w:ascii="Times New Roman" w:eastAsia="Times New Roman" w:hAnsi="Times New Roman" w:cs="Times New Roman"/>
                <w:b/>
                <w:sz w:val="16"/>
                <w:szCs w:val="16"/>
              </w:rPr>
            </w:pPr>
          </w:p>
        </w:tc>
        <w:tc>
          <w:tcPr>
            <w:tcW w:w="1408" w:type="dxa"/>
            <w:shd w:val="clear" w:color="auto" w:fill="auto"/>
            <w:tcMar>
              <w:top w:w="100" w:type="dxa"/>
              <w:left w:w="100" w:type="dxa"/>
              <w:bottom w:w="100" w:type="dxa"/>
              <w:right w:w="100" w:type="dxa"/>
            </w:tcMar>
          </w:tcPr>
          <w:p w14:paraId="2D0D3ED1" w14:textId="69ED2BA2"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B</w:t>
            </w:r>
            <w:r>
              <w:rPr>
                <w:rFonts w:ascii="Times New Roman" w:eastAsia="Times New Roman" w:hAnsi="Times New Roman" w:cs="Times New Roman"/>
                <w:b/>
                <w:sz w:val="16"/>
                <w:szCs w:val="16"/>
              </w:rPr>
              <w:t>loom &amp; Williamson</w:t>
            </w:r>
          </w:p>
          <w:p w14:paraId="2D0D3ED2" w14:textId="5E4C9879"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w:t>
            </w:r>
            <w:r>
              <w:rPr>
                <w:rFonts w:ascii="Times New Roman" w:eastAsia="Times New Roman" w:hAnsi="Times New Roman" w:cs="Times New Roman"/>
                <w:b/>
                <w:sz w:val="16"/>
                <w:szCs w:val="16"/>
              </w:rPr>
              <w:t>1998</w:t>
            </w:r>
            <w:r w:rsidRPr="005D1913">
              <w:rPr>
                <w:rFonts w:ascii="Times New Roman" w:eastAsia="Times New Roman" w:hAnsi="Times New Roman" w:cs="Times New Roman"/>
                <w:b/>
                <w:sz w:val="16"/>
                <w:szCs w:val="16"/>
              </w:rPr>
              <w:t>)</w:t>
            </w:r>
          </w:p>
        </w:tc>
        <w:tc>
          <w:tcPr>
            <w:tcW w:w="1417" w:type="dxa"/>
            <w:shd w:val="clear" w:color="auto" w:fill="auto"/>
            <w:tcMar>
              <w:top w:w="100" w:type="dxa"/>
              <w:left w:w="100" w:type="dxa"/>
              <w:bottom w:w="100" w:type="dxa"/>
              <w:right w:w="100" w:type="dxa"/>
            </w:tcMar>
          </w:tcPr>
          <w:p w14:paraId="2D0D3ED4" w14:textId="0ABEB75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proofErr w:type="spellStart"/>
            <w:r>
              <w:rPr>
                <w:rFonts w:ascii="Times New Roman" w:eastAsia="Times New Roman" w:hAnsi="Times New Roman" w:cs="Times New Roman"/>
                <w:b/>
                <w:sz w:val="16"/>
                <w:szCs w:val="16"/>
              </w:rPr>
              <w:t>Pissarides</w:t>
            </w:r>
            <w:proofErr w:type="spellEnd"/>
            <w:r>
              <w:rPr>
                <w:rFonts w:ascii="Times New Roman" w:eastAsia="Times New Roman" w:hAnsi="Times New Roman" w:cs="Times New Roman"/>
                <w:b/>
                <w:sz w:val="16"/>
                <w:szCs w:val="16"/>
              </w:rPr>
              <w:t xml:space="preserve"> (2000)</w:t>
            </w:r>
          </w:p>
        </w:tc>
        <w:tc>
          <w:tcPr>
            <w:tcW w:w="1701" w:type="dxa"/>
            <w:shd w:val="clear" w:color="auto" w:fill="auto"/>
            <w:tcMar>
              <w:top w:w="100" w:type="dxa"/>
              <w:left w:w="100" w:type="dxa"/>
              <w:bottom w:w="100" w:type="dxa"/>
              <w:right w:w="100" w:type="dxa"/>
            </w:tcMar>
          </w:tcPr>
          <w:p w14:paraId="2D0D3ED6" w14:textId="4969F88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Diamond (1982)</w:t>
            </w:r>
          </w:p>
        </w:tc>
        <w:tc>
          <w:tcPr>
            <w:tcW w:w="1134" w:type="dxa"/>
            <w:shd w:val="clear" w:color="auto" w:fill="auto"/>
            <w:tcMar>
              <w:top w:w="100" w:type="dxa"/>
              <w:left w:w="100" w:type="dxa"/>
              <w:bottom w:w="100" w:type="dxa"/>
              <w:right w:w="100" w:type="dxa"/>
            </w:tcMar>
          </w:tcPr>
          <w:p w14:paraId="2D0D3ED7" w14:textId="5B046183"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Carvalho &amp; Garcia</w:t>
            </w:r>
          </w:p>
          <w:p w14:paraId="2D0D3ED8" w14:textId="1019262F"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(20</w:t>
            </w:r>
            <w:r>
              <w:rPr>
                <w:rFonts w:ascii="Times New Roman" w:eastAsia="Times New Roman" w:hAnsi="Times New Roman" w:cs="Times New Roman"/>
                <w:b/>
                <w:sz w:val="16"/>
                <w:szCs w:val="16"/>
              </w:rPr>
              <w:t>03</w:t>
            </w:r>
            <w:r w:rsidRPr="005D1913">
              <w:rPr>
                <w:rFonts w:ascii="Times New Roman" w:eastAsia="Times New Roman" w:hAnsi="Times New Roman" w:cs="Times New Roman"/>
                <w:b/>
                <w:sz w:val="16"/>
                <w:szCs w:val="16"/>
              </w:rPr>
              <w:t>)</w:t>
            </w:r>
          </w:p>
        </w:tc>
        <w:tc>
          <w:tcPr>
            <w:tcW w:w="992" w:type="dxa"/>
            <w:shd w:val="clear" w:color="auto" w:fill="auto"/>
            <w:tcMar>
              <w:top w:w="100" w:type="dxa"/>
              <w:left w:w="100" w:type="dxa"/>
              <w:bottom w:w="100" w:type="dxa"/>
              <w:right w:w="100" w:type="dxa"/>
            </w:tcMar>
          </w:tcPr>
          <w:p w14:paraId="2D0D3ED9"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 xml:space="preserve">Feijó e </w:t>
            </w:r>
            <w:proofErr w:type="spellStart"/>
            <w:r w:rsidRPr="005D1913">
              <w:rPr>
                <w:rFonts w:ascii="Times New Roman" w:eastAsia="Times New Roman" w:hAnsi="Times New Roman" w:cs="Times New Roman"/>
                <w:b/>
                <w:sz w:val="16"/>
                <w:szCs w:val="16"/>
              </w:rPr>
              <w:t>Peruchetti</w:t>
            </w:r>
            <w:proofErr w:type="spellEnd"/>
          </w:p>
          <w:p w14:paraId="2D0D3EDA"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sidRPr="005D1913">
              <w:rPr>
                <w:rFonts w:ascii="Times New Roman" w:eastAsia="Times New Roman" w:hAnsi="Times New Roman" w:cs="Times New Roman"/>
                <w:b/>
                <w:sz w:val="16"/>
                <w:szCs w:val="16"/>
              </w:rPr>
              <w:t>(2024)</w:t>
            </w:r>
          </w:p>
        </w:tc>
        <w:tc>
          <w:tcPr>
            <w:tcW w:w="992" w:type="dxa"/>
          </w:tcPr>
          <w:p w14:paraId="13687BF7" w14:textId="28828CED"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proofErr w:type="spellStart"/>
            <w:r>
              <w:rPr>
                <w:rFonts w:ascii="Times New Roman" w:eastAsia="Times New Roman" w:hAnsi="Times New Roman" w:cs="Times New Roman"/>
                <w:b/>
                <w:sz w:val="16"/>
                <w:szCs w:val="16"/>
              </w:rPr>
              <w:t>Acemoglu</w:t>
            </w:r>
            <w:proofErr w:type="spellEnd"/>
            <w:r>
              <w:rPr>
                <w:rFonts w:ascii="Times New Roman" w:eastAsia="Times New Roman" w:hAnsi="Times New Roman" w:cs="Times New Roman"/>
                <w:b/>
                <w:sz w:val="16"/>
                <w:szCs w:val="16"/>
              </w:rPr>
              <w:t xml:space="preserve"> (2002)</w:t>
            </w:r>
          </w:p>
        </w:tc>
        <w:tc>
          <w:tcPr>
            <w:tcW w:w="1276" w:type="dxa"/>
          </w:tcPr>
          <w:p w14:paraId="5B58C305" w14:textId="7024A98D" w:rsidR="002148E1" w:rsidRDefault="002148E1">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Camarano (2014)</w:t>
            </w:r>
          </w:p>
        </w:tc>
      </w:tr>
      <w:tr w:rsidR="00815147" w14:paraId="2D0D3EE2" w14:textId="42181222" w:rsidTr="00DB0C6B">
        <w:tc>
          <w:tcPr>
            <w:tcW w:w="1145" w:type="dxa"/>
            <w:shd w:val="clear" w:color="auto" w:fill="auto"/>
            <w:tcMar>
              <w:top w:w="100" w:type="dxa"/>
              <w:left w:w="100" w:type="dxa"/>
              <w:bottom w:w="100" w:type="dxa"/>
              <w:right w:w="100" w:type="dxa"/>
            </w:tcMar>
          </w:tcPr>
          <w:p w14:paraId="2D0D3EDC"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Instituição de pesquisa</w:t>
            </w:r>
          </w:p>
        </w:tc>
        <w:tc>
          <w:tcPr>
            <w:tcW w:w="1408" w:type="dxa"/>
            <w:shd w:val="clear" w:color="auto" w:fill="auto"/>
            <w:tcMar>
              <w:top w:w="100" w:type="dxa"/>
              <w:left w:w="100" w:type="dxa"/>
              <w:bottom w:w="100" w:type="dxa"/>
              <w:right w:w="100" w:type="dxa"/>
            </w:tcMar>
          </w:tcPr>
          <w:p w14:paraId="2D0D3EDD" w14:textId="07A120FF"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World Bank, Harvard </w:t>
            </w:r>
            <w:proofErr w:type="spellStart"/>
            <w:r>
              <w:rPr>
                <w:rFonts w:ascii="Times New Roman" w:eastAsia="Times New Roman" w:hAnsi="Times New Roman" w:cs="Times New Roman"/>
                <w:sz w:val="16"/>
                <w:szCs w:val="16"/>
              </w:rPr>
              <w:t>University</w:t>
            </w:r>
            <w:proofErr w:type="spellEnd"/>
          </w:p>
        </w:tc>
        <w:tc>
          <w:tcPr>
            <w:tcW w:w="1417" w:type="dxa"/>
            <w:shd w:val="clear" w:color="auto" w:fill="auto"/>
            <w:tcMar>
              <w:top w:w="100" w:type="dxa"/>
              <w:left w:w="100" w:type="dxa"/>
              <w:bottom w:w="100" w:type="dxa"/>
              <w:right w:w="100" w:type="dxa"/>
            </w:tcMar>
          </w:tcPr>
          <w:p w14:paraId="2D0D3EDE" w14:textId="3660405E"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London </w:t>
            </w:r>
            <w:proofErr w:type="spellStart"/>
            <w:r>
              <w:rPr>
                <w:rFonts w:ascii="Times New Roman" w:eastAsia="Times New Roman" w:hAnsi="Times New Roman" w:cs="Times New Roman"/>
                <w:sz w:val="16"/>
                <w:szCs w:val="16"/>
              </w:rPr>
              <w:t>School</w:t>
            </w:r>
            <w:proofErr w:type="spellEnd"/>
            <w:r>
              <w:rPr>
                <w:rFonts w:ascii="Times New Roman" w:eastAsia="Times New Roman" w:hAnsi="Times New Roman" w:cs="Times New Roman"/>
                <w:sz w:val="16"/>
                <w:szCs w:val="16"/>
              </w:rPr>
              <w:t xml:space="preserve"> </w:t>
            </w:r>
            <w:proofErr w:type="spellStart"/>
            <w:r>
              <w:rPr>
                <w:rFonts w:ascii="Times New Roman" w:eastAsia="Times New Roman" w:hAnsi="Times New Roman" w:cs="Times New Roman"/>
                <w:sz w:val="16"/>
                <w:szCs w:val="16"/>
              </w:rPr>
              <w:t>of</w:t>
            </w:r>
            <w:proofErr w:type="spellEnd"/>
            <w:r>
              <w:rPr>
                <w:rFonts w:ascii="Times New Roman" w:eastAsia="Times New Roman" w:hAnsi="Times New Roman" w:cs="Times New Roman"/>
                <w:sz w:val="16"/>
                <w:szCs w:val="16"/>
              </w:rPr>
              <w:t xml:space="preserve"> </w:t>
            </w:r>
            <w:proofErr w:type="spellStart"/>
            <w:r>
              <w:rPr>
                <w:rFonts w:ascii="Times New Roman" w:eastAsia="Times New Roman" w:hAnsi="Times New Roman" w:cs="Times New Roman"/>
                <w:sz w:val="16"/>
                <w:szCs w:val="16"/>
              </w:rPr>
              <w:t>Economics</w:t>
            </w:r>
            <w:proofErr w:type="spellEnd"/>
          </w:p>
        </w:tc>
        <w:tc>
          <w:tcPr>
            <w:tcW w:w="1701" w:type="dxa"/>
            <w:shd w:val="clear" w:color="auto" w:fill="auto"/>
            <w:tcMar>
              <w:top w:w="100" w:type="dxa"/>
              <w:left w:w="100" w:type="dxa"/>
              <w:bottom w:w="100" w:type="dxa"/>
              <w:right w:w="100" w:type="dxa"/>
            </w:tcMar>
          </w:tcPr>
          <w:p w14:paraId="2D0D3EDF" w14:textId="64850F6B"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MIT</w:t>
            </w:r>
          </w:p>
        </w:tc>
        <w:tc>
          <w:tcPr>
            <w:tcW w:w="1134" w:type="dxa"/>
            <w:shd w:val="clear" w:color="auto" w:fill="auto"/>
            <w:tcMar>
              <w:top w:w="100" w:type="dxa"/>
              <w:left w:w="100" w:type="dxa"/>
              <w:bottom w:w="100" w:type="dxa"/>
              <w:right w:w="100" w:type="dxa"/>
            </w:tcMar>
          </w:tcPr>
          <w:p w14:paraId="2D0D3EE0" w14:textId="4D06EA04"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UFMG</w:t>
            </w:r>
          </w:p>
        </w:tc>
        <w:tc>
          <w:tcPr>
            <w:tcW w:w="992" w:type="dxa"/>
            <w:shd w:val="clear" w:color="auto" w:fill="auto"/>
            <w:tcMar>
              <w:top w:w="100" w:type="dxa"/>
              <w:left w:w="100" w:type="dxa"/>
              <w:bottom w:w="100" w:type="dxa"/>
              <w:right w:w="100" w:type="dxa"/>
            </w:tcMar>
          </w:tcPr>
          <w:p w14:paraId="2D0D3EE1"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FGV IBRE</w:t>
            </w:r>
          </w:p>
        </w:tc>
        <w:tc>
          <w:tcPr>
            <w:tcW w:w="992" w:type="dxa"/>
          </w:tcPr>
          <w:p w14:paraId="4246EF99" w14:textId="73A5801F"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MIT</w:t>
            </w:r>
          </w:p>
        </w:tc>
        <w:tc>
          <w:tcPr>
            <w:tcW w:w="1276" w:type="dxa"/>
          </w:tcPr>
          <w:p w14:paraId="307C8568" w14:textId="488B8F4C" w:rsidR="00815147" w:rsidRDefault="002148E1">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Ipea</w:t>
            </w:r>
          </w:p>
        </w:tc>
      </w:tr>
      <w:tr w:rsidR="00815147" w14:paraId="2D0D3EEA" w14:textId="47AF797F" w:rsidTr="00DB0C6B">
        <w:tc>
          <w:tcPr>
            <w:tcW w:w="1145" w:type="dxa"/>
            <w:shd w:val="clear" w:color="auto" w:fill="auto"/>
            <w:tcMar>
              <w:top w:w="100" w:type="dxa"/>
              <w:left w:w="100" w:type="dxa"/>
              <w:bottom w:w="100" w:type="dxa"/>
              <w:right w:w="100" w:type="dxa"/>
            </w:tcMar>
          </w:tcPr>
          <w:p w14:paraId="2D0D3EE3"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Metodologia</w:t>
            </w:r>
          </w:p>
        </w:tc>
        <w:tc>
          <w:tcPr>
            <w:tcW w:w="1408" w:type="dxa"/>
            <w:shd w:val="clear" w:color="auto" w:fill="auto"/>
            <w:tcMar>
              <w:top w:w="100" w:type="dxa"/>
              <w:left w:w="100" w:type="dxa"/>
              <w:bottom w:w="100" w:type="dxa"/>
              <w:right w:w="100" w:type="dxa"/>
            </w:tcMar>
          </w:tcPr>
          <w:p w14:paraId="2D0D3EE4" w14:textId="005501D7" w:rsidR="00815147" w:rsidRPr="005D1913" w:rsidRDefault="00F20199">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F20199">
              <w:rPr>
                <w:rFonts w:ascii="Times New Roman" w:eastAsia="Times New Roman" w:hAnsi="Times New Roman" w:cs="Times New Roman"/>
                <w:sz w:val="16"/>
                <w:szCs w:val="16"/>
              </w:rPr>
              <w:t>Modelo econométrico de crescimento com variáveis demográficas</w:t>
            </w:r>
          </w:p>
        </w:tc>
        <w:tc>
          <w:tcPr>
            <w:tcW w:w="1417" w:type="dxa"/>
            <w:shd w:val="clear" w:color="auto" w:fill="auto"/>
            <w:tcMar>
              <w:top w:w="100" w:type="dxa"/>
              <w:left w:w="100" w:type="dxa"/>
              <w:bottom w:w="100" w:type="dxa"/>
              <w:right w:w="100" w:type="dxa"/>
            </w:tcMar>
          </w:tcPr>
          <w:p w14:paraId="2D0D3EE5" w14:textId="1C79D896" w:rsidR="00815147" w:rsidRPr="005D1913" w:rsidRDefault="00F20199">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Modelo teórico de equilíbrio geral com </w:t>
            </w:r>
            <w:proofErr w:type="spellStart"/>
            <w:r>
              <w:rPr>
                <w:rFonts w:ascii="Times New Roman" w:eastAsia="Times New Roman" w:hAnsi="Times New Roman" w:cs="Times New Roman"/>
                <w:sz w:val="16"/>
                <w:szCs w:val="16"/>
              </w:rPr>
              <w:t>search</w:t>
            </w:r>
            <w:proofErr w:type="spellEnd"/>
            <w:r>
              <w:rPr>
                <w:rFonts w:ascii="Times New Roman" w:eastAsia="Times New Roman" w:hAnsi="Times New Roman" w:cs="Times New Roman"/>
                <w:sz w:val="16"/>
                <w:szCs w:val="16"/>
              </w:rPr>
              <w:t xml:space="preserve"> &amp; </w:t>
            </w:r>
            <w:proofErr w:type="spellStart"/>
            <w:r>
              <w:rPr>
                <w:rFonts w:ascii="Times New Roman" w:eastAsia="Times New Roman" w:hAnsi="Times New Roman" w:cs="Times New Roman"/>
                <w:sz w:val="16"/>
                <w:szCs w:val="16"/>
              </w:rPr>
              <w:t>matching</w:t>
            </w:r>
            <w:proofErr w:type="spellEnd"/>
          </w:p>
        </w:tc>
        <w:tc>
          <w:tcPr>
            <w:tcW w:w="1701" w:type="dxa"/>
            <w:shd w:val="clear" w:color="auto" w:fill="auto"/>
            <w:tcMar>
              <w:top w:w="100" w:type="dxa"/>
              <w:left w:w="100" w:type="dxa"/>
              <w:bottom w:w="100" w:type="dxa"/>
              <w:right w:w="100" w:type="dxa"/>
            </w:tcMar>
          </w:tcPr>
          <w:p w14:paraId="2D0D3EE6" w14:textId="0272A102" w:rsidR="00815147" w:rsidRPr="005D1913" w:rsidRDefault="006F2307">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Modelo teórico de busca com barganha em mercados com fricções</w:t>
            </w:r>
          </w:p>
          <w:p w14:paraId="2D0D3EE7"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p>
        </w:tc>
        <w:tc>
          <w:tcPr>
            <w:tcW w:w="1134" w:type="dxa"/>
            <w:shd w:val="clear" w:color="auto" w:fill="auto"/>
            <w:tcMar>
              <w:top w:w="100" w:type="dxa"/>
              <w:left w:w="100" w:type="dxa"/>
              <w:bottom w:w="100" w:type="dxa"/>
              <w:right w:w="100" w:type="dxa"/>
            </w:tcMar>
          </w:tcPr>
          <w:p w14:paraId="2D0D3EE8" w14:textId="6173BCB9" w:rsidR="00815147" w:rsidRPr="005D1913" w:rsidRDefault="006F230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demográfica aplicada ao caso brasileiro</w:t>
            </w:r>
          </w:p>
        </w:tc>
        <w:tc>
          <w:tcPr>
            <w:tcW w:w="992" w:type="dxa"/>
            <w:shd w:val="clear" w:color="auto" w:fill="auto"/>
            <w:tcMar>
              <w:top w:w="100" w:type="dxa"/>
              <w:left w:w="100" w:type="dxa"/>
              <w:bottom w:w="100" w:type="dxa"/>
              <w:right w:w="100" w:type="dxa"/>
            </w:tcMar>
          </w:tcPr>
          <w:p w14:paraId="2D0D3EE9" w14:textId="1F5B3468" w:rsidR="00815147" w:rsidRPr="005D1913" w:rsidRDefault="00D73215">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estatística e projeções demográficas</w:t>
            </w:r>
          </w:p>
        </w:tc>
        <w:tc>
          <w:tcPr>
            <w:tcW w:w="992" w:type="dxa"/>
          </w:tcPr>
          <w:p w14:paraId="3860057F" w14:textId="066A9F24" w:rsidR="00815147" w:rsidRPr="005D1913" w:rsidRDefault="0054548D">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Modelo Teórico de busca com </w:t>
            </w:r>
            <w:r w:rsidR="0051494C">
              <w:rPr>
                <w:rFonts w:ascii="Times New Roman" w:eastAsia="Times New Roman" w:hAnsi="Times New Roman" w:cs="Times New Roman"/>
                <w:sz w:val="16"/>
                <w:szCs w:val="16"/>
              </w:rPr>
              <w:t>barganha em mercados com fricções</w:t>
            </w:r>
          </w:p>
        </w:tc>
        <w:tc>
          <w:tcPr>
            <w:tcW w:w="1276" w:type="dxa"/>
          </w:tcPr>
          <w:p w14:paraId="31D4E417" w14:textId="79DF8F63" w:rsidR="00815147" w:rsidRPr="005D1913" w:rsidRDefault="0051494C">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estatística e projeções demográficas</w:t>
            </w:r>
          </w:p>
        </w:tc>
      </w:tr>
      <w:tr w:rsidR="00815147" w14:paraId="2D0D3EF1" w14:textId="408191F8" w:rsidTr="00DB0C6B">
        <w:tc>
          <w:tcPr>
            <w:tcW w:w="1145" w:type="dxa"/>
            <w:shd w:val="clear" w:color="auto" w:fill="auto"/>
            <w:tcMar>
              <w:top w:w="100" w:type="dxa"/>
              <w:left w:w="100" w:type="dxa"/>
              <w:bottom w:w="100" w:type="dxa"/>
              <w:right w:w="100" w:type="dxa"/>
            </w:tcMar>
          </w:tcPr>
          <w:p w14:paraId="2D0D3EEB"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Conclusões</w:t>
            </w:r>
          </w:p>
        </w:tc>
        <w:tc>
          <w:tcPr>
            <w:tcW w:w="1408" w:type="dxa"/>
            <w:shd w:val="clear" w:color="auto" w:fill="auto"/>
            <w:tcMar>
              <w:top w:w="100" w:type="dxa"/>
              <w:left w:w="100" w:type="dxa"/>
              <w:bottom w:w="100" w:type="dxa"/>
              <w:right w:w="100" w:type="dxa"/>
            </w:tcMar>
          </w:tcPr>
          <w:p w14:paraId="2D0D3EEC" w14:textId="6DC49D56" w:rsidR="00815147" w:rsidRPr="005D1913" w:rsidRDefault="0051494C">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Transição demográfica explica parte do crescimento asiático; bônus demográfico é decisivo quando be</w:t>
            </w:r>
            <w:r w:rsidR="00366980">
              <w:rPr>
                <w:rFonts w:ascii="Times New Roman" w:eastAsia="Times New Roman" w:hAnsi="Times New Roman" w:cs="Times New Roman"/>
                <w:sz w:val="16"/>
                <w:szCs w:val="16"/>
              </w:rPr>
              <w:t>m aproveitado</w:t>
            </w:r>
          </w:p>
        </w:tc>
        <w:tc>
          <w:tcPr>
            <w:tcW w:w="1417" w:type="dxa"/>
            <w:shd w:val="clear" w:color="auto" w:fill="auto"/>
            <w:tcMar>
              <w:top w:w="100" w:type="dxa"/>
              <w:left w:w="100" w:type="dxa"/>
              <w:bottom w:w="100" w:type="dxa"/>
              <w:right w:w="100" w:type="dxa"/>
            </w:tcMar>
          </w:tcPr>
          <w:p w14:paraId="2D0D3EED" w14:textId="6F4D801A" w:rsidR="00815147" w:rsidRPr="005D1913" w:rsidRDefault="00A034CE">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O desemprego é função da taxa de separação e da eficiência de </w:t>
            </w:r>
            <w:proofErr w:type="spellStart"/>
            <w:r>
              <w:rPr>
                <w:rFonts w:ascii="Times New Roman" w:eastAsia="Times New Roman" w:hAnsi="Times New Roman" w:cs="Times New Roman"/>
                <w:sz w:val="16"/>
                <w:szCs w:val="16"/>
              </w:rPr>
              <w:t>matching</w:t>
            </w:r>
            <w:proofErr w:type="spellEnd"/>
            <w:r>
              <w:rPr>
                <w:rFonts w:ascii="Times New Roman" w:eastAsia="Times New Roman" w:hAnsi="Times New Roman" w:cs="Times New Roman"/>
                <w:sz w:val="16"/>
                <w:szCs w:val="16"/>
              </w:rPr>
              <w:t>; políticas afetam equilíbrio de longo prazo</w:t>
            </w:r>
          </w:p>
        </w:tc>
        <w:tc>
          <w:tcPr>
            <w:tcW w:w="1701" w:type="dxa"/>
            <w:shd w:val="clear" w:color="auto" w:fill="auto"/>
            <w:tcMar>
              <w:top w:w="100" w:type="dxa"/>
              <w:left w:w="100" w:type="dxa"/>
              <w:bottom w:w="100" w:type="dxa"/>
              <w:right w:w="100" w:type="dxa"/>
            </w:tcMar>
          </w:tcPr>
          <w:p w14:paraId="2D0D3EEE" w14:textId="642174F7" w:rsidR="00815147" w:rsidRPr="005D1913" w:rsidRDefault="00406A25">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Imperfeições no </w:t>
            </w:r>
            <w:proofErr w:type="spellStart"/>
            <w:r>
              <w:rPr>
                <w:rFonts w:ascii="Times New Roman" w:eastAsia="Times New Roman" w:hAnsi="Times New Roman" w:cs="Times New Roman"/>
                <w:sz w:val="16"/>
                <w:szCs w:val="16"/>
              </w:rPr>
              <w:t>mat</w:t>
            </w:r>
            <w:r w:rsidR="003C3F65">
              <w:rPr>
                <w:rFonts w:ascii="Times New Roman" w:eastAsia="Times New Roman" w:hAnsi="Times New Roman" w:cs="Times New Roman"/>
                <w:sz w:val="16"/>
                <w:szCs w:val="16"/>
              </w:rPr>
              <w:t>ching</w:t>
            </w:r>
            <w:proofErr w:type="spellEnd"/>
            <w:r w:rsidR="003C3F65">
              <w:rPr>
                <w:rFonts w:ascii="Times New Roman" w:eastAsia="Times New Roman" w:hAnsi="Times New Roman" w:cs="Times New Roman"/>
                <w:sz w:val="16"/>
                <w:szCs w:val="16"/>
              </w:rPr>
              <w:t xml:space="preserve"> exigem gestão agregada da demanda para eficiência</w:t>
            </w:r>
          </w:p>
        </w:tc>
        <w:tc>
          <w:tcPr>
            <w:tcW w:w="1134" w:type="dxa"/>
            <w:shd w:val="clear" w:color="auto" w:fill="auto"/>
            <w:tcMar>
              <w:top w:w="100" w:type="dxa"/>
              <w:left w:w="100" w:type="dxa"/>
              <w:bottom w:w="100" w:type="dxa"/>
              <w:right w:w="100" w:type="dxa"/>
            </w:tcMar>
          </w:tcPr>
          <w:p w14:paraId="2D0D3EEF" w14:textId="3A36E152" w:rsidR="00815147" w:rsidRPr="005D1913" w:rsidRDefault="00D3716B">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Brasil entrou no bônus demográfico nos anos 2000; transição foi rápida e concentrada</w:t>
            </w:r>
          </w:p>
        </w:tc>
        <w:tc>
          <w:tcPr>
            <w:tcW w:w="992" w:type="dxa"/>
            <w:shd w:val="clear" w:color="auto" w:fill="auto"/>
            <w:tcMar>
              <w:top w:w="100" w:type="dxa"/>
              <w:left w:w="100" w:type="dxa"/>
              <w:bottom w:w="100" w:type="dxa"/>
              <w:right w:w="100" w:type="dxa"/>
            </w:tcMar>
          </w:tcPr>
          <w:p w14:paraId="2D0D3EF0" w14:textId="66849BC9" w:rsidR="00815147" w:rsidRPr="005D1913" w:rsidRDefault="00D3716B">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Bônus demográfico está se encerrando</w:t>
            </w:r>
            <w:r w:rsidR="005823DE">
              <w:rPr>
                <w:rFonts w:ascii="Times New Roman" w:eastAsia="Times New Roman" w:hAnsi="Times New Roman" w:cs="Times New Roman"/>
                <w:sz w:val="16"/>
                <w:szCs w:val="16"/>
              </w:rPr>
              <w:t>; desafios previdenciários e de produtividade virão com envelhecimento</w:t>
            </w:r>
          </w:p>
        </w:tc>
        <w:tc>
          <w:tcPr>
            <w:tcW w:w="992" w:type="dxa"/>
          </w:tcPr>
          <w:p w14:paraId="3DD27D8B" w14:textId="0D19E552" w:rsidR="00815147" w:rsidRPr="005D1913" w:rsidRDefault="0012300F">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Mudanças tecnológicas tendem a favorecer trabalhadores qualificados, ampliando a desigualdade</w:t>
            </w:r>
          </w:p>
        </w:tc>
        <w:tc>
          <w:tcPr>
            <w:tcW w:w="1276" w:type="dxa"/>
          </w:tcPr>
          <w:p w14:paraId="45C9A060" w14:textId="3E2DD3F1" w:rsidR="00815147" w:rsidRPr="005D1913" w:rsidRDefault="0012300F">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 xml:space="preserve">Bônus demográfico está se encerrando; desafios previdenciários e de produtividade virão com </w:t>
            </w:r>
            <w:proofErr w:type="spellStart"/>
            <w:r>
              <w:rPr>
                <w:rFonts w:ascii="Times New Roman" w:eastAsia="Times New Roman" w:hAnsi="Times New Roman" w:cs="Times New Roman"/>
                <w:sz w:val="16"/>
                <w:szCs w:val="16"/>
              </w:rPr>
              <w:t>evelhecimento</w:t>
            </w:r>
            <w:proofErr w:type="spellEnd"/>
          </w:p>
        </w:tc>
      </w:tr>
      <w:tr w:rsidR="00815147" w14:paraId="2D0D3EF8" w14:textId="75742B74" w:rsidTr="00DB0C6B">
        <w:tc>
          <w:tcPr>
            <w:tcW w:w="1145" w:type="dxa"/>
            <w:shd w:val="clear" w:color="auto" w:fill="auto"/>
            <w:tcMar>
              <w:top w:w="100" w:type="dxa"/>
              <w:left w:w="100" w:type="dxa"/>
              <w:bottom w:w="100" w:type="dxa"/>
              <w:right w:w="100" w:type="dxa"/>
            </w:tcMar>
          </w:tcPr>
          <w:p w14:paraId="2D0D3EF2"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Contribuições</w:t>
            </w:r>
          </w:p>
        </w:tc>
        <w:tc>
          <w:tcPr>
            <w:tcW w:w="1408" w:type="dxa"/>
            <w:shd w:val="clear" w:color="auto" w:fill="auto"/>
            <w:tcMar>
              <w:top w:w="100" w:type="dxa"/>
              <w:left w:w="100" w:type="dxa"/>
              <w:bottom w:w="100" w:type="dxa"/>
              <w:right w:w="100" w:type="dxa"/>
            </w:tcMar>
          </w:tcPr>
          <w:p w14:paraId="2D0D3EF3" w14:textId="03461A15" w:rsidR="00815147" w:rsidRPr="005D1913" w:rsidRDefault="003E01E4">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Formaliza o conceito de bônus demográfico como janela de oportunidade econômica</w:t>
            </w:r>
          </w:p>
        </w:tc>
        <w:tc>
          <w:tcPr>
            <w:tcW w:w="1417" w:type="dxa"/>
            <w:shd w:val="clear" w:color="auto" w:fill="auto"/>
            <w:tcMar>
              <w:top w:w="100" w:type="dxa"/>
              <w:left w:w="100" w:type="dxa"/>
              <w:bottom w:w="100" w:type="dxa"/>
              <w:right w:w="100" w:type="dxa"/>
            </w:tcMar>
          </w:tcPr>
          <w:p w14:paraId="2D0D3EF4" w14:textId="2D1E8DC0" w:rsidR="00815147" w:rsidRPr="005D1913" w:rsidRDefault="00C40B35">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Estruturação formal do modelo DMP com equilíbrio estacionário; base para análises estruturais de trabalho</w:t>
            </w:r>
          </w:p>
        </w:tc>
        <w:tc>
          <w:tcPr>
            <w:tcW w:w="1701" w:type="dxa"/>
            <w:shd w:val="clear" w:color="auto" w:fill="auto"/>
            <w:tcMar>
              <w:top w:w="100" w:type="dxa"/>
              <w:left w:w="100" w:type="dxa"/>
              <w:bottom w:w="100" w:type="dxa"/>
              <w:right w:w="100" w:type="dxa"/>
            </w:tcMar>
          </w:tcPr>
          <w:p w14:paraId="2D0D3EF5" w14:textId="4D44B3FB" w:rsidR="00815147" w:rsidRPr="00E90463" w:rsidRDefault="00E90463">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E90463">
              <w:rPr>
                <w:rFonts w:ascii="Times New Roman" w:eastAsia="Times New Roman" w:hAnsi="Times New Roman" w:cs="Times New Roman"/>
                <w:sz w:val="16"/>
                <w:szCs w:val="16"/>
              </w:rPr>
              <w:t xml:space="preserve">Fundador do arcabouço </w:t>
            </w:r>
            <w:proofErr w:type="spellStart"/>
            <w:r w:rsidR="008B31F2">
              <w:rPr>
                <w:rFonts w:ascii="Times New Roman" w:eastAsia="Times New Roman" w:hAnsi="Times New Roman" w:cs="Times New Roman"/>
                <w:sz w:val="16"/>
                <w:szCs w:val="16"/>
              </w:rPr>
              <w:t>s</w:t>
            </w:r>
            <w:r w:rsidRPr="00E90463">
              <w:rPr>
                <w:rFonts w:ascii="Times New Roman" w:eastAsia="Times New Roman" w:hAnsi="Times New Roman" w:cs="Times New Roman"/>
                <w:sz w:val="16"/>
                <w:szCs w:val="16"/>
              </w:rPr>
              <w:t>earch</w:t>
            </w:r>
            <w:proofErr w:type="spellEnd"/>
            <w:r w:rsidRPr="00E90463">
              <w:rPr>
                <w:rFonts w:ascii="Times New Roman" w:eastAsia="Times New Roman" w:hAnsi="Times New Roman" w:cs="Times New Roman"/>
                <w:sz w:val="16"/>
                <w:szCs w:val="16"/>
              </w:rPr>
              <w:t xml:space="preserve"> &amp; </w:t>
            </w:r>
            <w:proofErr w:type="spellStart"/>
            <w:r w:rsidR="008B31F2">
              <w:rPr>
                <w:rFonts w:ascii="Times New Roman" w:eastAsia="Times New Roman" w:hAnsi="Times New Roman" w:cs="Times New Roman"/>
                <w:sz w:val="16"/>
                <w:szCs w:val="16"/>
              </w:rPr>
              <w:t>m</w:t>
            </w:r>
            <w:r w:rsidRPr="00E90463">
              <w:rPr>
                <w:rFonts w:ascii="Times New Roman" w:eastAsia="Times New Roman" w:hAnsi="Times New Roman" w:cs="Times New Roman"/>
                <w:sz w:val="16"/>
                <w:szCs w:val="16"/>
              </w:rPr>
              <w:t>atching</w:t>
            </w:r>
            <w:proofErr w:type="spellEnd"/>
            <w:r w:rsidRPr="00E90463">
              <w:rPr>
                <w:rFonts w:ascii="Times New Roman" w:eastAsia="Times New Roman" w:hAnsi="Times New Roman" w:cs="Times New Roman"/>
                <w:sz w:val="16"/>
                <w:szCs w:val="16"/>
              </w:rPr>
              <w:t xml:space="preserve"> usado po</w:t>
            </w:r>
            <w:r>
              <w:rPr>
                <w:rFonts w:ascii="Times New Roman" w:eastAsia="Times New Roman" w:hAnsi="Times New Roman" w:cs="Times New Roman"/>
                <w:sz w:val="16"/>
                <w:szCs w:val="16"/>
              </w:rPr>
              <w:t>r Mortens</w:t>
            </w:r>
            <w:r w:rsidR="008B31F2">
              <w:rPr>
                <w:rFonts w:ascii="Times New Roman" w:eastAsia="Times New Roman" w:hAnsi="Times New Roman" w:cs="Times New Roman"/>
                <w:sz w:val="16"/>
                <w:szCs w:val="16"/>
              </w:rPr>
              <w:t xml:space="preserve">en e </w:t>
            </w:r>
            <w:proofErr w:type="spellStart"/>
            <w:r w:rsidR="008B31F2">
              <w:rPr>
                <w:rFonts w:ascii="Times New Roman" w:eastAsia="Times New Roman" w:hAnsi="Times New Roman" w:cs="Times New Roman"/>
                <w:sz w:val="16"/>
                <w:szCs w:val="16"/>
              </w:rPr>
              <w:t>Pissarides</w:t>
            </w:r>
            <w:proofErr w:type="spellEnd"/>
          </w:p>
        </w:tc>
        <w:tc>
          <w:tcPr>
            <w:tcW w:w="1134" w:type="dxa"/>
            <w:shd w:val="clear" w:color="auto" w:fill="auto"/>
            <w:tcMar>
              <w:top w:w="100" w:type="dxa"/>
              <w:left w:w="100" w:type="dxa"/>
              <w:bottom w:w="100" w:type="dxa"/>
              <w:right w:w="100" w:type="dxa"/>
            </w:tcMar>
          </w:tcPr>
          <w:p w14:paraId="2D0D3EF6" w14:textId="5F1A67B5" w:rsidR="00815147" w:rsidRPr="005D1913" w:rsidRDefault="008B31F2">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Diagnóstico térmico sobre o início e a natureza do bônus demográfico brasileiro</w:t>
            </w:r>
          </w:p>
        </w:tc>
        <w:tc>
          <w:tcPr>
            <w:tcW w:w="992" w:type="dxa"/>
            <w:shd w:val="clear" w:color="auto" w:fill="auto"/>
            <w:tcMar>
              <w:top w:w="100" w:type="dxa"/>
              <w:left w:w="100" w:type="dxa"/>
              <w:bottom w:w="100" w:type="dxa"/>
              <w:right w:w="100" w:type="dxa"/>
            </w:tcMar>
          </w:tcPr>
          <w:p w14:paraId="2D0D3EF7" w14:textId="77777777" w:rsidR="00815147" w:rsidRPr="005D1913" w:rsidRDefault="00815147">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Destaque das regiões com maiores desafios, de forma segmentada, subsidiando a formulação de políticas públicas direcionadas a jovens que sofrem desafios específicos</w:t>
            </w:r>
          </w:p>
        </w:tc>
        <w:tc>
          <w:tcPr>
            <w:tcW w:w="992" w:type="dxa"/>
          </w:tcPr>
          <w:p w14:paraId="36A680B0" w14:textId="61F095A7" w:rsidR="00815147" w:rsidRPr="005D1913" w:rsidRDefault="003E22C5">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Integra teoria do progresso técnico com dinâmica do mercado de trabalho e estrutura ocupacional</w:t>
            </w:r>
          </w:p>
        </w:tc>
        <w:tc>
          <w:tcPr>
            <w:tcW w:w="1276" w:type="dxa"/>
          </w:tcPr>
          <w:p w14:paraId="04B3FE46" w14:textId="24871CC6" w:rsidR="00815147" w:rsidRPr="005D1913" w:rsidRDefault="00131B86">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Integra o debate populacional com políticas públicas de longo prazo</w:t>
            </w:r>
          </w:p>
        </w:tc>
      </w:tr>
    </w:tbl>
    <w:p w14:paraId="2D0D3EFA" w14:textId="313DE3CA" w:rsidR="003B7FBE" w:rsidRDefault="003B7FBE">
      <w:pPr>
        <w:pStyle w:val="Ttulo2"/>
        <w:ind w:left="0"/>
        <w:jc w:val="both"/>
        <w:rPr>
          <w:rFonts w:ascii="Times New Roman" w:eastAsia="Times New Roman" w:hAnsi="Times New Roman" w:cs="Times New Roman"/>
        </w:rPr>
      </w:pPr>
      <w:bookmarkStart w:id="12" w:name="_3axo4jp1livm" w:colFirst="0" w:colLast="0"/>
      <w:bookmarkEnd w:id="12"/>
    </w:p>
    <w:p w14:paraId="49523E7A" w14:textId="77777777" w:rsidR="002148E1" w:rsidRDefault="002148E1" w:rsidP="002148E1">
      <w:pPr>
        <w:jc w:val="both"/>
        <w:rPr>
          <w:rFonts w:ascii="Times New Roman" w:eastAsia="Times New Roman" w:hAnsi="Times New Roman" w:cs="Times New Roman"/>
          <w:b/>
          <w:sz w:val="24"/>
          <w:szCs w:val="24"/>
        </w:rPr>
      </w:pPr>
    </w:p>
    <w:tbl>
      <w:tblPr>
        <w:tblW w:w="7089"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45"/>
        <w:gridCol w:w="2967"/>
        <w:gridCol w:w="2977"/>
      </w:tblGrid>
      <w:tr w:rsidR="00F81C9B" w14:paraId="4D331D32" w14:textId="77777777" w:rsidTr="00DB0C6B">
        <w:tc>
          <w:tcPr>
            <w:tcW w:w="1145" w:type="dxa"/>
            <w:shd w:val="clear" w:color="auto" w:fill="auto"/>
            <w:tcMar>
              <w:top w:w="100" w:type="dxa"/>
              <w:left w:w="100" w:type="dxa"/>
              <w:bottom w:w="100" w:type="dxa"/>
              <w:right w:w="100" w:type="dxa"/>
            </w:tcMar>
          </w:tcPr>
          <w:p w14:paraId="73339BDE" w14:textId="77777777" w:rsidR="00F81C9B" w:rsidRPr="005D1913" w:rsidRDefault="00F81C9B" w:rsidP="00043E08">
            <w:pPr>
              <w:widowControl w:val="0"/>
              <w:pBdr>
                <w:top w:val="nil"/>
                <w:left w:val="nil"/>
                <w:bottom w:val="nil"/>
                <w:right w:val="nil"/>
                <w:between w:val="nil"/>
              </w:pBdr>
              <w:spacing w:line="240" w:lineRule="auto"/>
              <w:ind w:left="-850"/>
              <w:jc w:val="both"/>
              <w:rPr>
                <w:rFonts w:ascii="Times New Roman" w:eastAsia="Times New Roman" w:hAnsi="Times New Roman" w:cs="Times New Roman"/>
                <w:b/>
                <w:sz w:val="16"/>
                <w:szCs w:val="16"/>
              </w:rPr>
            </w:pPr>
          </w:p>
        </w:tc>
        <w:tc>
          <w:tcPr>
            <w:tcW w:w="2967" w:type="dxa"/>
            <w:shd w:val="clear" w:color="auto" w:fill="auto"/>
            <w:tcMar>
              <w:top w:w="100" w:type="dxa"/>
              <w:left w:w="100" w:type="dxa"/>
              <w:bottom w:w="100" w:type="dxa"/>
              <w:right w:w="100" w:type="dxa"/>
            </w:tcMar>
          </w:tcPr>
          <w:p w14:paraId="0B050426" w14:textId="5BF0FD52"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Guimarães et al. (2021)</w:t>
            </w:r>
          </w:p>
        </w:tc>
        <w:tc>
          <w:tcPr>
            <w:tcW w:w="2977" w:type="dxa"/>
            <w:shd w:val="clear" w:color="auto" w:fill="auto"/>
            <w:tcMar>
              <w:top w:w="100" w:type="dxa"/>
              <w:left w:w="100" w:type="dxa"/>
              <w:bottom w:w="100" w:type="dxa"/>
              <w:right w:w="100" w:type="dxa"/>
            </w:tcMar>
          </w:tcPr>
          <w:p w14:paraId="5A7CEAE3" w14:textId="3EDA41D2"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b/>
                <w:sz w:val="16"/>
                <w:szCs w:val="16"/>
              </w:rPr>
            </w:pPr>
            <w:r>
              <w:rPr>
                <w:rFonts w:ascii="Times New Roman" w:eastAsia="Times New Roman" w:hAnsi="Times New Roman" w:cs="Times New Roman"/>
                <w:b/>
                <w:sz w:val="16"/>
                <w:szCs w:val="16"/>
              </w:rPr>
              <w:t>Pastore (2019)</w:t>
            </w:r>
          </w:p>
        </w:tc>
      </w:tr>
      <w:tr w:rsidR="00F81C9B" w14:paraId="1E6E9E95" w14:textId="77777777" w:rsidTr="00DB0C6B">
        <w:tc>
          <w:tcPr>
            <w:tcW w:w="1145" w:type="dxa"/>
            <w:shd w:val="clear" w:color="auto" w:fill="auto"/>
            <w:tcMar>
              <w:top w:w="100" w:type="dxa"/>
              <w:left w:w="100" w:type="dxa"/>
              <w:bottom w:w="100" w:type="dxa"/>
              <w:right w:w="100" w:type="dxa"/>
            </w:tcMar>
          </w:tcPr>
          <w:p w14:paraId="3CF3E08E"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Instituição de pesquisa</w:t>
            </w:r>
          </w:p>
        </w:tc>
        <w:tc>
          <w:tcPr>
            <w:tcW w:w="2967" w:type="dxa"/>
            <w:shd w:val="clear" w:color="auto" w:fill="auto"/>
            <w:tcMar>
              <w:top w:w="100" w:type="dxa"/>
              <w:left w:w="100" w:type="dxa"/>
              <w:bottom w:w="100" w:type="dxa"/>
              <w:right w:w="100" w:type="dxa"/>
            </w:tcMar>
          </w:tcPr>
          <w:p w14:paraId="72FA75CF" w14:textId="207A7B18"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USP</w:t>
            </w:r>
          </w:p>
        </w:tc>
        <w:tc>
          <w:tcPr>
            <w:tcW w:w="2977" w:type="dxa"/>
            <w:shd w:val="clear" w:color="auto" w:fill="auto"/>
            <w:tcMar>
              <w:top w:w="100" w:type="dxa"/>
              <w:left w:w="100" w:type="dxa"/>
              <w:bottom w:w="100" w:type="dxa"/>
              <w:right w:w="100" w:type="dxa"/>
            </w:tcMar>
          </w:tcPr>
          <w:p w14:paraId="0D867852" w14:textId="75F07F68"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CNI</w:t>
            </w:r>
          </w:p>
        </w:tc>
      </w:tr>
      <w:tr w:rsidR="00F81C9B" w14:paraId="130AF051" w14:textId="77777777" w:rsidTr="00DB0C6B">
        <w:tc>
          <w:tcPr>
            <w:tcW w:w="1145" w:type="dxa"/>
            <w:shd w:val="clear" w:color="auto" w:fill="auto"/>
            <w:tcMar>
              <w:top w:w="100" w:type="dxa"/>
              <w:left w:w="100" w:type="dxa"/>
              <w:bottom w:w="100" w:type="dxa"/>
              <w:right w:w="100" w:type="dxa"/>
            </w:tcMar>
          </w:tcPr>
          <w:p w14:paraId="14C66E35"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Metodologia</w:t>
            </w:r>
          </w:p>
        </w:tc>
        <w:tc>
          <w:tcPr>
            <w:tcW w:w="2967" w:type="dxa"/>
            <w:shd w:val="clear" w:color="auto" w:fill="auto"/>
            <w:tcMar>
              <w:top w:w="100" w:type="dxa"/>
              <w:left w:w="100" w:type="dxa"/>
              <w:bottom w:w="100" w:type="dxa"/>
              <w:right w:w="100" w:type="dxa"/>
            </w:tcMar>
          </w:tcPr>
          <w:p w14:paraId="1B7EA3F3" w14:textId="67F14F9C" w:rsidR="00F81C9B" w:rsidRPr="005D1913" w:rsidRDefault="0051494C"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Estudo empírico com microdados sobre juventude, escolaridade e ocupação</w:t>
            </w:r>
          </w:p>
        </w:tc>
        <w:tc>
          <w:tcPr>
            <w:tcW w:w="2977" w:type="dxa"/>
            <w:shd w:val="clear" w:color="auto" w:fill="auto"/>
            <w:tcMar>
              <w:top w:w="100" w:type="dxa"/>
              <w:left w:w="100" w:type="dxa"/>
              <w:bottom w:w="100" w:type="dxa"/>
              <w:right w:w="100" w:type="dxa"/>
            </w:tcMar>
          </w:tcPr>
          <w:p w14:paraId="646459B2" w14:textId="6789C7AD" w:rsidR="00F81C9B" w:rsidRPr="005D1913" w:rsidRDefault="0051494C"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Análise institucional e econômica sobre emprego e futuro do trabalho</w:t>
            </w:r>
          </w:p>
        </w:tc>
      </w:tr>
      <w:tr w:rsidR="00F81C9B" w14:paraId="262A58FF" w14:textId="77777777" w:rsidTr="00DB0C6B">
        <w:tc>
          <w:tcPr>
            <w:tcW w:w="1145" w:type="dxa"/>
            <w:shd w:val="clear" w:color="auto" w:fill="auto"/>
            <w:tcMar>
              <w:top w:w="100" w:type="dxa"/>
              <w:left w:w="100" w:type="dxa"/>
              <w:bottom w:w="100" w:type="dxa"/>
              <w:right w:w="100" w:type="dxa"/>
            </w:tcMar>
          </w:tcPr>
          <w:p w14:paraId="25B20BC6"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Conclusões</w:t>
            </w:r>
          </w:p>
        </w:tc>
        <w:tc>
          <w:tcPr>
            <w:tcW w:w="2967" w:type="dxa"/>
            <w:shd w:val="clear" w:color="auto" w:fill="auto"/>
            <w:tcMar>
              <w:top w:w="100" w:type="dxa"/>
              <w:left w:w="100" w:type="dxa"/>
              <w:bottom w:w="100" w:type="dxa"/>
              <w:right w:w="100" w:type="dxa"/>
            </w:tcMar>
          </w:tcPr>
          <w:p w14:paraId="3A7A752F" w14:textId="2679D80F" w:rsidR="00F81C9B" w:rsidRPr="005D1913" w:rsidRDefault="00CD4ACA"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Desigualdades de inserção são persistentes; escolaridade não garante acesso a ocupações de qualidade</w:t>
            </w:r>
          </w:p>
        </w:tc>
        <w:tc>
          <w:tcPr>
            <w:tcW w:w="2977" w:type="dxa"/>
            <w:shd w:val="clear" w:color="auto" w:fill="auto"/>
            <w:tcMar>
              <w:top w:w="100" w:type="dxa"/>
              <w:left w:w="100" w:type="dxa"/>
              <w:bottom w:w="100" w:type="dxa"/>
              <w:right w:w="100" w:type="dxa"/>
            </w:tcMar>
          </w:tcPr>
          <w:p w14:paraId="06EE6624" w14:textId="3D359713" w:rsidR="00F81C9B" w:rsidRPr="005D1913" w:rsidRDefault="00AF3286" w:rsidP="00043E08">
            <w:pPr>
              <w:widowControl w:val="0"/>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Mercado de trabalho juvenil exige políticas específicas e transição para a nova economia</w:t>
            </w:r>
          </w:p>
        </w:tc>
      </w:tr>
      <w:tr w:rsidR="00F81C9B" w14:paraId="6482929D" w14:textId="77777777" w:rsidTr="00DB0C6B">
        <w:tc>
          <w:tcPr>
            <w:tcW w:w="1145" w:type="dxa"/>
            <w:shd w:val="clear" w:color="auto" w:fill="auto"/>
            <w:tcMar>
              <w:top w:w="100" w:type="dxa"/>
              <w:left w:w="100" w:type="dxa"/>
              <w:bottom w:w="100" w:type="dxa"/>
              <w:right w:w="100" w:type="dxa"/>
            </w:tcMar>
          </w:tcPr>
          <w:p w14:paraId="41A4F49F" w14:textId="77777777" w:rsidR="00F81C9B" w:rsidRPr="005D1913" w:rsidRDefault="00F81C9B"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sidRPr="005D1913">
              <w:rPr>
                <w:rFonts w:ascii="Times New Roman" w:eastAsia="Times New Roman" w:hAnsi="Times New Roman" w:cs="Times New Roman"/>
                <w:sz w:val="16"/>
                <w:szCs w:val="16"/>
              </w:rPr>
              <w:t>Contribuições</w:t>
            </w:r>
          </w:p>
        </w:tc>
        <w:tc>
          <w:tcPr>
            <w:tcW w:w="2967" w:type="dxa"/>
            <w:shd w:val="clear" w:color="auto" w:fill="auto"/>
            <w:tcMar>
              <w:top w:w="100" w:type="dxa"/>
              <w:left w:w="100" w:type="dxa"/>
              <w:bottom w:w="100" w:type="dxa"/>
              <w:right w:w="100" w:type="dxa"/>
            </w:tcMar>
          </w:tcPr>
          <w:p w14:paraId="70494443" w14:textId="595B29A1" w:rsidR="00F81C9B" w:rsidRPr="005D1913" w:rsidRDefault="00131B86"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Atualiza o debate sobre juventude e trabalho com base empírica nacional recente</w:t>
            </w:r>
          </w:p>
        </w:tc>
        <w:tc>
          <w:tcPr>
            <w:tcW w:w="2977" w:type="dxa"/>
            <w:shd w:val="clear" w:color="auto" w:fill="auto"/>
            <w:tcMar>
              <w:top w:w="100" w:type="dxa"/>
              <w:left w:w="100" w:type="dxa"/>
              <w:bottom w:w="100" w:type="dxa"/>
              <w:right w:w="100" w:type="dxa"/>
            </w:tcMar>
          </w:tcPr>
          <w:p w14:paraId="45CCA9A3" w14:textId="563F322B" w:rsidR="00F81C9B" w:rsidRPr="005D1913" w:rsidRDefault="00131B86" w:rsidP="00043E08">
            <w:pPr>
              <w:widowControl w:val="0"/>
              <w:pBdr>
                <w:top w:val="nil"/>
                <w:left w:val="nil"/>
                <w:bottom w:val="nil"/>
                <w:right w:val="nil"/>
                <w:between w:val="nil"/>
              </w:pBdr>
              <w:spacing w:line="240" w:lineRule="auto"/>
              <w:jc w:val="both"/>
              <w:rPr>
                <w:rFonts w:ascii="Times New Roman" w:eastAsia="Times New Roman" w:hAnsi="Times New Roman" w:cs="Times New Roman"/>
                <w:sz w:val="16"/>
                <w:szCs w:val="16"/>
              </w:rPr>
            </w:pPr>
            <w:r>
              <w:rPr>
                <w:rFonts w:ascii="Times New Roman" w:eastAsia="Times New Roman" w:hAnsi="Times New Roman" w:cs="Times New Roman"/>
                <w:sz w:val="16"/>
                <w:szCs w:val="16"/>
              </w:rPr>
              <w:t>Propõe estratégias institucionais para o futuro da inserção juvenil</w:t>
            </w:r>
          </w:p>
        </w:tc>
      </w:tr>
    </w:tbl>
    <w:p w14:paraId="6E8A43A7" w14:textId="77777777" w:rsidR="002148E1" w:rsidRPr="002148E1" w:rsidRDefault="002148E1" w:rsidP="002148E1"/>
    <w:p w14:paraId="2D0D3EFC" w14:textId="77777777" w:rsidR="003B7FBE" w:rsidRDefault="00AE3682">
      <w:pPr>
        <w:pStyle w:val="Ttulo1"/>
        <w:jc w:val="both"/>
        <w:rPr>
          <w:rFonts w:ascii="Times New Roman" w:eastAsia="Times New Roman" w:hAnsi="Times New Roman" w:cs="Times New Roman"/>
        </w:rPr>
      </w:pPr>
      <w:bookmarkStart w:id="13" w:name="_ssi6qpj2k9ry" w:colFirst="0" w:colLast="0"/>
      <w:bookmarkEnd w:id="13"/>
      <w:r>
        <w:rPr>
          <w:rFonts w:ascii="Times New Roman" w:eastAsia="Times New Roman" w:hAnsi="Times New Roman" w:cs="Times New Roman"/>
        </w:rPr>
        <w:lastRenderedPageBreak/>
        <w:t>METODOLOGIA</w:t>
      </w:r>
    </w:p>
    <w:p w14:paraId="2D0D3EFD" w14:textId="77777777" w:rsidR="003B7FBE" w:rsidRDefault="003B7FBE">
      <w:pPr>
        <w:jc w:val="both"/>
        <w:rPr>
          <w:rFonts w:ascii="Times New Roman" w:eastAsia="Times New Roman" w:hAnsi="Times New Roman" w:cs="Times New Roman"/>
          <w:b/>
          <w:sz w:val="24"/>
          <w:szCs w:val="24"/>
        </w:rPr>
      </w:pPr>
    </w:p>
    <w:p w14:paraId="2D0D3EFE" w14:textId="77777777" w:rsidR="003B7FBE" w:rsidRDefault="00AE3682">
      <w:pPr>
        <w:pStyle w:val="Ttulo2"/>
        <w:numPr>
          <w:ilvl w:val="0"/>
          <w:numId w:val="1"/>
        </w:numPr>
        <w:jc w:val="both"/>
      </w:pPr>
      <w:bookmarkStart w:id="14" w:name="_j0rt37johuwp" w:colFirst="0" w:colLast="0"/>
      <w:bookmarkEnd w:id="14"/>
      <w:r>
        <w:rPr>
          <w:rFonts w:ascii="Times New Roman" w:eastAsia="Times New Roman" w:hAnsi="Times New Roman" w:cs="Times New Roman"/>
        </w:rPr>
        <w:t>Projeto de pesquisa</w:t>
      </w:r>
    </w:p>
    <w:p w14:paraId="2D0D3EFF" w14:textId="77777777" w:rsidR="003B7FBE" w:rsidRDefault="003B7FBE">
      <w:pPr>
        <w:jc w:val="both"/>
        <w:rPr>
          <w:rFonts w:ascii="Times New Roman" w:eastAsia="Times New Roman" w:hAnsi="Times New Roman" w:cs="Times New Roman"/>
          <w:sz w:val="24"/>
          <w:szCs w:val="24"/>
        </w:rPr>
      </w:pPr>
    </w:p>
    <w:p w14:paraId="2D0D3F0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projeto visa estimar e interpretar os efeitos da pandemia de COVID-19 sobre a ocupação juvenil no Brasil, por meio da integração entre evidências empíricas (com dados da PNAD Contínua Trimestral e do Novo CAGED) e uma modelagem teórica ancorada no modelo estrutural de busca e emparelhamento (Diamond-Mortensen-</w:t>
      </w:r>
      <w:proofErr w:type="spellStart"/>
      <w:r>
        <w:rPr>
          <w:rFonts w:ascii="Times New Roman" w:eastAsia="Times New Roman" w:hAnsi="Times New Roman" w:cs="Times New Roman"/>
          <w:sz w:val="24"/>
          <w:szCs w:val="24"/>
        </w:rPr>
        <w:t>Pissarides</w:t>
      </w:r>
      <w:proofErr w:type="spellEnd"/>
      <w:r>
        <w:rPr>
          <w:rFonts w:ascii="Times New Roman" w:eastAsia="Times New Roman" w:hAnsi="Times New Roman" w:cs="Times New Roman"/>
          <w:sz w:val="24"/>
          <w:szCs w:val="24"/>
        </w:rPr>
        <w:t xml:space="preserve"> – DMP). A proposta envolve a reconstrução de um painel longitudinal com identificação individual dos jovens ao longo dos trimestres (2012–2023), aplicação de modelos estatísticos para mensuração das transições no mercado de trabalho, estimações econométricas de impacto heterogêneo por características individuais (sexo, raça, escolaridade, localidade), e calibração de parâmetros de equilíbrio estrutural do mercado juvenil. Busca-se, assim, avaliar se os efeitos do choque pandêmico foram meramente conjunturais ou se provocaram alterações estruturais e persistentes no processo de inserção e retenção dos jovens no mercado de trabalho.</w:t>
      </w:r>
    </w:p>
    <w:p w14:paraId="2D0D3F01" w14:textId="77777777" w:rsidR="003B7FBE" w:rsidRDefault="003B7FBE">
      <w:pPr>
        <w:ind w:left="360"/>
        <w:jc w:val="both"/>
        <w:rPr>
          <w:rFonts w:ascii="Times New Roman" w:eastAsia="Times New Roman" w:hAnsi="Times New Roman" w:cs="Times New Roman"/>
          <w:sz w:val="24"/>
          <w:szCs w:val="24"/>
        </w:rPr>
      </w:pPr>
    </w:p>
    <w:p w14:paraId="2D0D3F02" w14:textId="77777777" w:rsidR="003B7FBE" w:rsidRDefault="00AE3682">
      <w:pPr>
        <w:pStyle w:val="Ttulo2"/>
        <w:numPr>
          <w:ilvl w:val="0"/>
          <w:numId w:val="1"/>
        </w:numPr>
        <w:jc w:val="both"/>
      </w:pPr>
      <w:bookmarkStart w:id="15" w:name="_e5yt2tuxtfc" w:colFirst="0" w:colLast="0"/>
      <w:bookmarkEnd w:id="15"/>
      <w:r>
        <w:rPr>
          <w:rFonts w:ascii="Times New Roman" w:eastAsia="Times New Roman" w:hAnsi="Times New Roman" w:cs="Times New Roman"/>
        </w:rPr>
        <w:t>Métodos de coleta de dados</w:t>
      </w:r>
    </w:p>
    <w:p w14:paraId="2D0D3F03" w14:textId="77777777" w:rsidR="003B7FBE" w:rsidRDefault="003B7FBE">
      <w:pPr>
        <w:jc w:val="both"/>
        <w:rPr>
          <w:rFonts w:ascii="Times New Roman" w:eastAsia="Times New Roman" w:hAnsi="Times New Roman" w:cs="Times New Roman"/>
          <w:sz w:val="24"/>
          <w:szCs w:val="24"/>
        </w:rPr>
      </w:pPr>
    </w:p>
    <w:p w14:paraId="1553FEB9" w14:textId="04420BBD" w:rsidR="00D1623A" w:rsidRPr="00D73D83" w:rsidRDefault="00AE3682" w:rsidP="005F2C23">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Utilizaram-se microdados da PNAD Contínua Trimestral de 2012 a 2023, </w:t>
      </w:r>
      <w:r w:rsidR="009D63D6">
        <w:rPr>
          <w:rFonts w:ascii="Times New Roman" w:eastAsia="Times New Roman" w:hAnsi="Times New Roman" w:cs="Times New Roman"/>
          <w:sz w:val="24"/>
          <w:szCs w:val="24"/>
        </w:rPr>
        <w:t xml:space="preserve">coletados a partir do módulo </w:t>
      </w:r>
      <w:proofErr w:type="spellStart"/>
      <w:r w:rsidR="009D63D6">
        <w:rPr>
          <w:rFonts w:ascii="Times New Roman" w:eastAsia="Times New Roman" w:hAnsi="Times New Roman" w:cs="Times New Roman"/>
          <w:sz w:val="24"/>
          <w:szCs w:val="24"/>
        </w:rPr>
        <w:t>datazoom_p</w:t>
      </w:r>
      <w:r w:rsidR="00D73D83">
        <w:rPr>
          <w:rFonts w:ascii="Times New Roman" w:eastAsia="Times New Roman" w:hAnsi="Times New Roman" w:cs="Times New Roman"/>
          <w:sz w:val="24"/>
          <w:szCs w:val="24"/>
        </w:rPr>
        <w:t>na</w:t>
      </w:r>
      <w:r w:rsidR="009D63D6">
        <w:rPr>
          <w:rFonts w:ascii="Times New Roman" w:eastAsia="Times New Roman" w:hAnsi="Times New Roman" w:cs="Times New Roman"/>
          <w:sz w:val="24"/>
          <w:szCs w:val="24"/>
        </w:rPr>
        <w:t>dcontinua</w:t>
      </w:r>
      <w:proofErr w:type="spellEnd"/>
      <w:r w:rsidR="008A0E56">
        <w:rPr>
          <w:rFonts w:ascii="Times New Roman" w:eastAsia="Times New Roman" w:hAnsi="Times New Roman" w:cs="Times New Roman"/>
          <w:sz w:val="24"/>
          <w:szCs w:val="24"/>
        </w:rPr>
        <w:t xml:space="preserve"> do STATA, desenvolvido pelo projeto Data Zoom da PUC Rio, que permite</w:t>
      </w:r>
      <w:r w:rsidR="0060169A">
        <w:rPr>
          <w:rFonts w:ascii="Times New Roman" w:eastAsia="Times New Roman" w:hAnsi="Times New Roman" w:cs="Times New Roman"/>
          <w:sz w:val="24"/>
          <w:szCs w:val="24"/>
        </w:rPr>
        <w:t xml:space="preserve"> o emparelhamento dos indivíduos consultados pelo IBGE a partir da técnica </w:t>
      </w:r>
      <w:r w:rsidR="00981F53">
        <w:rPr>
          <w:rFonts w:ascii="Times New Roman" w:eastAsia="Times New Roman" w:hAnsi="Times New Roman" w:cs="Times New Roman"/>
          <w:sz w:val="24"/>
          <w:szCs w:val="24"/>
        </w:rPr>
        <w:t>de emparelhamento probabilístico</w:t>
      </w:r>
      <w:r w:rsidR="00912C7C">
        <w:rPr>
          <w:rFonts w:ascii="Times New Roman" w:eastAsia="Times New Roman" w:hAnsi="Times New Roman" w:cs="Times New Roman"/>
          <w:sz w:val="24"/>
          <w:szCs w:val="24"/>
        </w:rPr>
        <w:t xml:space="preserve"> </w:t>
      </w:r>
      <w:r w:rsidR="0060169A">
        <w:rPr>
          <w:rFonts w:ascii="Times New Roman" w:eastAsia="Times New Roman" w:hAnsi="Times New Roman" w:cs="Times New Roman"/>
          <w:sz w:val="24"/>
          <w:szCs w:val="24"/>
        </w:rPr>
        <w:t>proposta por Ribas e Soares (2008).</w:t>
      </w:r>
      <w:r w:rsidR="008A0E56">
        <w:rPr>
          <w:rFonts w:ascii="Times New Roman" w:eastAsia="Times New Roman" w:hAnsi="Times New Roman" w:cs="Times New Roman"/>
          <w:sz w:val="24"/>
          <w:szCs w:val="24"/>
        </w:rPr>
        <w:t xml:space="preserve"> </w:t>
      </w:r>
      <w:r w:rsidR="00912C7C">
        <w:rPr>
          <w:rFonts w:ascii="Times New Roman" w:eastAsia="Times New Roman" w:hAnsi="Times New Roman" w:cs="Times New Roman"/>
          <w:sz w:val="24"/>
          <w:szCs w:val="24"/>
        </w:rPr>
        <w:t xml:space="preserve">Assim, às variáveis padrão da base de dados disponibilizada pelo IBGE </w:t>
      </w:r>
      <w:r w:rsidR="00896BC0">
        <w:rPr>
          <w:rFonts w:ascii="Times New Roman" w:eastAsia="Times New Roman" w:hAnsi="Times New Roman" w:cs="Times New Roman"/>
          <w:sz w:val="24"/>
          <w:szCs w:val="24"/>
        </w:rPr>
        <w:t xml:space="preserve">são adicionados elementos de identificação </w:t>
      </w:r>
      <w:proofErr w:type="spellStart"/>
      <w:r w:rsidR="00896BC0">
        <w:rPr>
          <w:rFonts w:ascii="Times New Roman" w:eastAsia="Times New Roman" w:hAnsi="Times New Roman" w:cs="Times New Roman"/>
          <w:i/>
          <w:iCs/>
          <w:sz w:val="24"/>
          <w:szCs w:val="24"/>
        </w:rPr>
        <w:t>hous_id</w:t>
      </w:r>
      <w:proofErr w:type="spellEnd"/>
      <w:r w:rsidR="00896BC0">
        <w:rPr>
          <w:rFonts w:ascii="Times New Roman" w:eastAsia="Times New Roman" w:hAnsi="Times New Roman" w:cs="Times New Roman"/>
          <w:sz w:val="24"/>
          <w:szCs w:val="24"/>
        </w:rPr>
        <w:t xml:space="preserve"> e </w:t>
      </w:r>
      <w:proofErr w:type="spellStart"/>
      <w:r w:rsidR="00896BC0">
        <w:rPr>
          <w:rFonts w:ascii="Times New Roman" w:eastAsia="Times New Roman" w:hAnsi="Times New Roman" w:cs="Times New Roman"/>
          <w:i/>
          <w:iCs/>
          <w:sz w:val="24"/>
          <w:szCs w:val="24"/>
        </w:rPr>
        <w:t>ind_id</w:t>
      </w:r>
      <w:proofErr w:type="spellEnd"/>
      <w:r w:rsidR="00D73D83">
        <w:rPr>
          <w:rFonts w:ascii="Times New Roman" w:eastAsia="Times New Roman" w:hAnsi="Times New Roman" w:cs="Times New Roman"/>
          <w:sz w:val="24"/>
          <w:szCs w:val="24"/>
        </w:rPr>
        <w:t xml:space="preserve"> para identificação do domicílio e do indivíduo, respectivamente.</w:t>
      </w:r>
      <w:r w:rsidR="005F2C23">
        <w:rPr>
          <w:rFonts w:ascii="Times New Roman" w:eastAsia="Times New Roman" w:hAnsi="Times New Roman" w:cs="Times New Roman"/>
          <w:sz w:val="24"/>
          <w:szCs w:val="24"/>
        </w:rPr>
        <w:t xml:space="preserve"> </w:t>
      </w:r>
      <w:r w:rsidR="00D1623A">
        <w:rPr>
          <w:rFonts w:ascii="Times New Roman" w:eastAsia="Times New Roman" w:hAnsi="Times New Roman" w:cs="Times New Roman"/>
          <w:sz w:val="24"/>
          <w:szCs w:val="24"/>
        </w:rPr>
        <w:t>Estas informações foram úteis para a observação do mesmo indivíduo em dois ou mais trimestres consecutivos</w:t>
      </w:r>
      <w:r w:rsidR="00946544">
        <w:rPr>
          <w:rFonts w:ascii="Times New Roman" w:eastAsia="Times New Roman" w:hAnsi="Times New Roman" w:cs="Times New Roman"/>
          <w:sz w:val="24"/>
          <w:szCs w:val="24"/>
        </w:rPr>
        <w:t xml:space="preserve">, e registro de sua evolução no mercado de trabalho. </w:t>
      </w:r>
    </w:p>
    <w:p w14:paraId="54C7AC65" w14:textId="77777777" w:rsidR="00CD77DD" w:rsidRDefault="00CD77DD">
      <w:pPr>
        <w:ind w:left="360"/>
        <w:jc w:val="both"/>
        <w:rPr>
          <w:rFonts w:ascii="Times New Roman" w:eastAsia="Times New Roman" w:hAnsi="Times New Roman" w:cs="Times New Roman"/>
          <w:sz w:val="24"/>
          <w:szCs w:val="24"/>
        </w:rPr>
      </w:pPr>
    </w:p>
    <w:p w14:paraId="0042F219" w14:textId="091BE6A2" w:rsidR="00751381" w:rsidRDefault="00CD77DD" w:rsidP="00840AE3">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 processo de seleção de variáveis, </w:t>
      </w:r>
      <w:r w:rsidR="009630B5">
        <w:rPr>
          <w:rFonts w:ascii="Times New Roman" w:eastAsia="Times New Roman" w:hAnsi="Times New Roman" w:cs="Times New Roman"/>
          <w:sz w:val="24"/>
          <w:szCs w:val="24"/>
        </w:rPr>
        <w:t xml:space="preserve">além das </w:t>
      </w:r>
      <w:r w:rsidR="00840AE3">
        <w:rPr>
          <w:rFonts w:ascii="Times New Roman" w:eastAsia="Times New Roman" w:hAnsi="Times New Roman" w:cs="Times New Roman"/>
          <w:sz w:val="24"/>
          <w:szCs w:val="24"/>
        </w:rPr>
        <w:t>referidas anteriormente, foram priorizadas variáveis de identificação característica dos indivíduos, como:</w:t>
      </w:r>
      <w:r w:rsidR="00AE3682">
        <w:rPr>
          <w:rFonts w:ascii="Times New Roman" w:eastAsia="Times New Roman" w:hAnsi="Times New Roman" w:cs="Times New Roman"/>
          <w:sz w:val="24"/>
          <w:szCs w:val="24"/>
        </w:rPr>
        <w:t xml:space="preserve"> sexo (V2007),</w:t>
      </w:r>
      <w:r w:rsidR="00751381">
        <w:rPr>
          <w:rFonts w:ascii="Times New Roman" w:eastAsia="Times New Roman" w:hAnsi="Times New Roman" w:cs="Times New Roman"/>
          <w:sz w:val="24"/>
          <w:szCs w:val="24"/>
        </w:rPr>
        <w:t xml:space="preserve"> se homem ou mulher;</w:t>
      </w:r>
      <w:r w:rsidR="00AE3682">
        <w:rPr>
          <w:rFonts w:ascii="Times New Roman" w:eastAsia="Times New Roman" w:hAnsi="Times New Roman" w:cs="Times New Roman"/>
          <w:sz w:val="24"/>
          <w:szCs w:val="24"/>
        </w:rPr>
        <w:t xml:space="preserve"> cor ou raça (V2010), </w:t>
      </w:r>
      <w:r w:rsidR="00751381">
        <w:rPr>
          <w:rFonts w:ascii="Times New Roman" w:eastAsia="Times New Roman" w:hAnsi="Times New Roman" w:cs="Times New Roman"/>
          <w:sz w:val="24"/>
          <w:szCs w:val="24"/>
        </w:rPr>
        <w:t xml:space="preserve">se branca, preta, parda ou outras; </w:t>
      </w:r>
      <w:r w:rsidR="00AE3682">
        <w:rPr>
          <w:rFonts w:ascii="Times New Roman" w:eastAsia="Times New Roman" w:hAnsi="Times New Roman" w:cs="Times New Roman"/>
          <w:sz w:val="24"/>
          <w:szCs w:val="24"/>
        </w:rPr>
        <w:t>escolaridade (V3009A),</w:t>
      </w:r>
      <w:r w:rsidR="00751381">
        <w:rPr>
          <w:rFonts w:ascii="Times New Roman" w:eastAsia="Times New Roman" w:hAnsi="Times New Roman" w:cs="Times New Roman"/>
          <w:sz w:val="24"/>
          <w:szCs w:val="24"/>
        </w:rPr>
        <w:t xml:space="preserve"> se fundamental ou menos, médio ou superior;</w:t>
      </w:r>
      <w:r w:rsidR="00AE3682">
        <w:rPr>
          <w:rFonts w:ascii="Times New Roman" w:eastAsia="Times New Roman" w:hAnsi="Times New Roman" w:cs="Times New Roman"/>
          <w:sz w:val="24"/>
          <w:szCs w:val="24"/>
        </w:rPr>
        <w:t xml:space="preserve"> localização (V1022), </w:t>
      </w:r>
      <w:r w:rsidR="00751381">
        <w:rPr>
          <w:rFonts w:ascii="Times New Roman" w:eastAsia="Times New Roman" w:hAnsi="Times New Roman" w:cs="Times New Roman"/>
          <w:sz w:val="24"/>
          <w:szCs w:val="24"/>
        </w:rPr>
        <w:t xml:space="preserve">se urbana o rural; </w:t>
      </w:r>
      <w:r w:rsidR="00AE3682">
        <w:rPr>
          <w:rFonts w:ascii="Times New Roman" w:eastAsia="Times New Roman" w:hAnsi="Times New Roman" w:cs="Times New Roman"/>
          <w:sz w:val="24"/>
          <w:szCs w:val="24"/>
        </w:rPr>
        <w:t>idade (V2009)</w:t>
      </w:r>
      <w:r w:rsidR="00751381">
        <w:rPr>
          <w:rFonts w:ascii="Times New Roman" w:eastAsia="Times New Roman" w:hAnsi="Times New Roman" w:cs="Times New Roman"/>
          <w:sz w:val="24"/>
          <w:szCs w:val="24"/>
        </w:rPr>
        <w:t>;</w:t>
      </w:r>
      <w:r w:rsidR="00993C54">
        <w:rPr>
          <w:rFonts w:ascii="Times New Roman" w:eastAsia="Times New Roman" w:hAnsi="Times New Roman" w:cs="Times New Roman"/>
          <w:sz w:val="24"/>
          <w:szCs w:val="24"/>
        </w:rPr>
        <w:t xml:space="preserve"> </w:t>
      </w:r>
      <w:r w:rsidR="00AE3682">
        <w:rPr>
          <w:rFonts w:ascii="Times New Roman" w:eastAsia="Times New Roman" w:hAnsi="Times New Roman" w:cs="Times New Roman"/>
          <w:sz w:val="24"/>
          <w:szCs w:val="24"/>
        </w:rPr>
        <w:t>além das variáveis ocupacionais VD4001 (força de trabalho) e VD4002 (ocupação).</w:t>
      </w:r>
    </w:p>
    <w:p w14:paraId="4E3FF15A" w14:textId="77777777" w:rsidR="00993C54" w:rsidRDefault="00993C54" w:rsidP="00840AE3">
      <w:pPr>
        <w:ind w:left="360"/>
        <w:jc w:val="both"/>
        <w:rPr>
          <w:rFonts w:ascii="Times New Roman" w:eastAsia="Times New Roman" w:hAnsi="Times New Roman" w:cs="Times New Roman"/>
          <w:sz w:val="24"/>
          <w:szCs w:val="24"/>
        </w:rPr>
      </w:pPr>
    </w:p>
    <w:p w14:paraId="5055B36A" w14:textId="448BDB18" w:rsidR="00993C54" w:rsidRDefault="00E1792A" w:rsidP="00840AE3">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Seguindo a convenção do IBGE e de estudos da OIT considerou-se como Jovens apenas indivíduos na faixa etária de 14 a 29 anos de idade</w:t>
      </w:r>
      <w:r w:rsidR="00E41F5D">
        <w:rPr>
          <w:rFonts w:ascii="Times New Roman" w:eastAsia="Times New Roman" w:hAnsi="Times New Roman" w:cs="Times New Roman"/>
          <w:sz w:val="24"/>
          <w:szCs w:val="24"/>
        </w:rPr>
        <w:t xml:space="preserve">, e criou-se uma variável proxy da experiência a partir da idade (Adolescente (14-17), Jovem (18-24) </w:t>
      </w:r>
      <w:proofErr w:type="gramStart"/>
      <w:r w:rsidR="00E41F5D">
        <w:rPr>
          <w:rFonts w:ascii="Times New Roman" w:eastAsia="Times New Roman" w:hAnsi="Times New Roman" w:cs="Times New Roman"/>
          <w:sz w:val="24"/>
          <w:szCs w:val="24"/>
        </w:rPr>
        <w:t>e Jovem</w:t>
      </w:r>
      <w:proofErr w:type="gramEnd"/>
      <w:r w:rsidR="00E41F5D">
        <w:rPr>
          <w:rFonts w:ascii="Times New Roman" w:eastAsia="Times New Roman" w:hAnsi="Times New Roman" w:cs="Times New Roman"/>
          <w:sz w:val="24"/>
          <w:szCs w:val="24"/>
        </w:rPr>
        <w:t xml:space="preserve"> adulto (25-29)).</w:t>
      </w:r>
    </w:p>
    <w:p w14:paraId="5A6886E5" w14:textId="77777777" w:rsidR="00E41F5D" w:rsidRDefault="00E41F5D" w:rsidP="00840AE3">
      <w:pPr>
        <w:ind w:left="360"/>
        <w:jc w:val="both"/>
        <w:rPr>
          <w:rFonts w:ascii="Times New Roman" w:eastAsia="Times New Roman" w:hAnsi="Times New Roman" w:cs="Times New Roman"/>
          <w:sz w:val="24"/>
          <w:szCs w:val="24"/>
        </w:rPr>
      </w:pPr>
    </w:p>
    <w:p w14:paraId="1C3B9D76" w14:textId="53BDE2CA" w:rsidR="00E41F5D" w:rsidRPr="00C82017" w:rsidRDefault="00E41F5D" w:rsidP="00840AE3">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análise do estado ocupacional, dentro do arcabouço teórico</w:t>
      </w:r>
      <w:r w:rsidR="006D4D3C">
        <w:rPr>
          <w:rFonts w:ascii="Times New Roman" w:eastAsia="Times New Roman" w:hAnsi="Times New Roman" w:cs="Times New Roman"/>
          <w:sz w:val="24"/>
          <w:szCs w:val="24"/>
        </w:rPr>
        <w:t xml:space="preserve">, mostrou-se conveniente trabalhar apenas com jovens dentro da força de trabalho, implicando na seleção apenas daqueles </w:t>
      </w:r>
      <w:r w:rsidR="006C7D07">
        <w:rPr>
          <w:rFonts w:ascii="Times New Roman" w:eastAsia="Times New Roman" w:hAnsi="Times New Roman" w:cs="Times New Roman"/>
          <w:sz w:val="24"/>
          <w:szCs w:val="24"/>
        </w:rPr>
        <w:t xml:space="preserve">cuja variável </w:t>
      </w:r>
      <w:r w:rsidR="006C7D07">
        <w:rPr>
          <w:rFonts w:ascii="Times New Roman" w:eastAsia="Times New Roman" w:hAnsi="Times New Roman" w:cs="Times New Roman"/>
          <w:i/>
          <w:iCs/>
          <w:sz w:val="24"/>
          <w:szCs w:val="24"/>
        </w:rPr>
        <w:t>VD4001</w:t>
      </w:r>
      <w:r w:rsidR="006C7D07">
        <w:rPr>
          <w:rFonts w:ascii="Times New Roman" w:eastAsia="Times New Roman" w:hAnsi="Times New Roman" w:cs="Times New Roman"/>
          <w:sz w:val="24"/>
          <w:szCs w:val="24"/>
        </w:rPr>
        <w:t xml:space="preserve"> assume valor 1.</w:t>
      </w:r>
      <w:r w:rsidR="00C82017">
        <w:rPr>
          <w:rFonts w:ascii="Times New Roman" w:eastAsia="Times New Roman" w:hAnsi="Times New Roman" w:cs="Times New Roman"/>
          <w:sz w:val="24"/>
          <w:szCs w:val="24"/>
        </w:rPr>
        <w:t xml:space="preserve"> A partir disso, criou-se uma variável indicadora </w:t>
      </w:r>
      <w:proofErr w:type="spellStart"/>
      <w:r w:rsidR="00C82017">
        <w:rPr>
          <w:rFonts w:ascii="Times New Roman" w:eastAsia="Times New Roman" w:hAnsi="Times New Roman" w:cs="Times New Roman"/>
          <w:i/>
          <w:iCs/>
          <w:sz w:val="24"/>
          <w:szCs w:val="24"/>
        </w:rPr>
        <w:t>estado_ocupacional</w:t>
      </w:r>
      <w:proofErr w:type="spellEnd"/>
      <w:r w:rsidR="00C82017">
        <w:rPr>
          <w:rFonts w:ascii="Times New Roman" w:eastAsia="Times New Roman" w:hAnsi="Times New Roman" w:cs="Times New Roman"/>
          <w:sz w:val="24"/>
          <w:szCs w:val="24"/>
        </w:rPr>
        <w:t xml:space="preserve"> que assume valores 1 para </w:t>
      </w:r>
      <w:r w:rsidR="00A35670">
        <w:rPr>
          <w:rFonts w:ascii="Times New Roman" w:eastAsia="Times New Roman" w:hAnsi="Times New Roman" w:cs="Times New Roman"/>
          <w:sz w:val="24"/>
          <w:szCs w:val="24"/>
        </w:rPr>
        <w:t>aqueles que estão na força de trabalho.</w:t>
      </w:r>
    </w:p>
    <w:p w14:paraId="123B94DD" w14:textId="77777777" w:rsidR="00751381" w:rsidRDefault="00751381" w:rsidP="00840AE3">
      <w:pPr>
        <w:ind w:left="360"/>
        <w:jc w:val="both"/>
        <w:rPr>
          <w:rFonts w:ascii="Times New Roman" w:eastAsia="Times New Roman" w:hAnsi="Times New Roman" w:cs="Times New Roman"/>
          <w:sz w:val="24"/>
          <w:szCs w:val="24"/>
        </w:rPr>
      </w:pPr>
    </w:p>
    <w:p w14:paraId="0380CD41" w14:textId="77777777" w:rsidR="00751381" w:rsidRDefault="00751381" w:rsidP="00840AE3">
      <w:pPr>
        <w:ind w:left="360"/>
        <w:jc w:val="both"/>
        <w:rPr>
          <w:rFonts w:ascii="Times New Roman" w:eastAsia="Times New Roman" w:hAnsi="Times New Roman" w:cs="Times New Roman"/>
          <w:sz w:val="24"/>
          <w:szCs w:val="24"/>
        </w:rPr>
      </w:pPr>
    </w:p>
    <w:p w14:paraId="2D0D3F04" w14:textId="12CAA74C" w:rsidR="003B7FBE" w:rsidRDefault="00AE3682" w:rsidP="00840AE3">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Foram também utilizados dados mensais do Novo CAGED, desagregados por idade, sexo e escolaridade, que permitiram a construção de proxies trimestrais para o número de admissões formais (vagas).</w:t>
      </w:r>
    </w:p>
    <w:p w14:paraId="2D0D3F05" w14:textId="77777777" w:rsidR="003B7FBE" w:rsidRDefault="003B7FBE">
      <w:pPr>
        <w:ind w:left="360"/>
        <w:jc w:val="both"/>
        <w:rPr>
          <w:rFonts w:ascii="Times New Roman" w:eastAsia="Times New Roman" w:hAnsi="Times New Roman" w:cs="Times New Roman"/>
          <w:sz w:val="24"/>
          <w:szCs w:val="24"/>
        </w:rPr>
      </w:pPr>
    </w:p>
    <w:p w14:paraId="2D0D3F06" w14:textId="77777777" w:rsidR="003B7FBE" w:rsidRDefault="00AE3682">
      <w:pPr>
        <w:pStyle w:val="Ttulo2"/>
        <w:numPr>
          <w:ilvl w:val="0"/>
          <w:numId w:val="1"/>
        </w:numPr>
        <w:jc w:val="both"/>
      </w:pPr>
      <w:bookmarkStart w:id="16" w:name="_y0pw86aqss7n" w:colFirst="0" w:colLast="0"/>
      <w:bookmarkEnd w:id="16"/>
      <w:r>
        <w:rPr>
          <w:rFonts w:ascii="Times New Roman" w:eastAsia="Times New Roman" w:hAnsi="Times New Roman" w:cs="Times New Roman"/>
        </w:rPr>
        <w:t>Abordagem analítica</w:t>
      </w:r>
    </w:p>
    <w:p w14:paraId="2D0D3F07" w14:textId="77777777" w:rsidR="003B7FBE" w:rsidRDefault="003B7FBE">
      <w:pPr>
        <w:jc w:val="both"/>
        <w:rPr>
          <w:rFonts w:ascii="Times New Roman" w:eastAsia="Times New Roman" w:hAnsi="Times New Roman" w:cs="Times New Roman"/>
          <w:sz w:val="24"/>
          <w:szCs w:val="24"/>
        </w:rPr>
      </w:pPr>
    </w:p>
    <w:p w14:paraId="2D0D3F08"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abordagem se deu em múltiplas camadas:</w:t>
      </w:r>
    </w:p>
    <w:p w14:paraId="2D0D3F09" w14:textId="77777777" w:rsidR="003B7FBE" w:rsidRDefault="003B7FBE">
      <w:pPr>
        <w:ind w:left="360"/>
        <w:jc w:val="both"/>
        <w:rPr>
          <w:rFonts w:ascii="Times New Roman" w:eastAsia="Times New Roman" w:hAnsi="Times New Roman" w:cs="Times New Roman"/>
          <w:sz w:val="24"/>
          <w:szCs w:val="24"/>
        </w:rPr>
      </w:pPr>
    </w:p>
    <w:p w14:paraId="2D0D3F0A" w14:textId="1A134622"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Construção de matrizes de transição à </w:t>
      </w:r>
      <w:proofErr w:type="spellStart"/>
      <w:r>
        <w:rPr>
          <w:rFonts w:ascii="Times New Roman" w:eastAsia="Times New Roman" w:hAnsi="Times New Roman" w:cs="Times New Roman"/>
          <w:color w:val="000000"/>
          <w:sz w:val="24"/>
          <w:szCs w:val="24"/>
        </w:rPr>
        <w:t>la</w:t>
      </w:r>
      <w:proofErr w:type="spellEnd"/>
      <w:r>
        <w:rPr>
          <w:rFonts w:ascii="Times New Roman" w:eastAsia="Times New Roman" w:hAnsi="Times New Roman" w:cs="Times New Roman"/>
          <w:color w:val="000000"/>
          <w:sz w:val="24"/>
          <w:szCs w:val="24"/>
        </w:rPr>
        <w:t xml:space="preserve"> Markov, com probabilidades condicionais de transição trimestral entre os estados de desempregado e empregado</w:t>
      </w:r>
      <w:r w:rsidR="00B70714">
        <w:rPr>
          <w:rFonts w:ascii="Times New Roman" w:eastAsia="Times New Roman" w:hAnsi="Times New Roman" w:cs="Times New Roman"/>
          <w:color w:val="000000"/>
          <w:sz w:val="24"/>
          <w:szCs w:val="24"/>
        </w:rPr>
        <w:t>:</w:t>
      </w:r>
    </w:p>
    <w:p w14:paraId="680B7C4B" w14:textId="77777777" w:rsidR="00FD03A7" w:rsidRDefault="00B70714" w:rsidP="00B70714">
      <w:pPr>
        <w:pBdr>
          <w:top w:val="nil"/>
          <w:left w:val="nil"/>
          <w:bottom w:val="nil"/>
          <w:right w:val="nil"/>
          <w:between w:val="nil"/>
        </w:pBdr>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Emparelhou-se, inicialmente, observações consecutivas do estado ocupacional de um mesmo indivíduo</w:t>
      </w:r>
      <w:r w:rsidR="00480B70">
        <w:rPr>
          <w:rFonts w:ascii="Times New Roman" w:eastAsia="Times New Roman" w:hAnsi="Times New Roman" w:cs="Times New Roman"/>
          <w:color w:val="000000"/>
          <w:sz w:val="24"/>
          <w:szCs w:val="24"/>
        </w:rPr>
        <w:t xml:space="preserve">, e criou-se uma variável </w:t>
      </w:r>
      <w:r w:rsidR="00480B70">
        <w:rPr>
          <w:rFonts w:ascii="Times New Roman" w:eastAsia="Times New Roman" w:hAnsi="Times New Roman" w:cs="Times New Roman"/>
          <w:i/>
          <w:iCs/>
          <w:color w:val="000000"/>
          <w:sz w:val="24"/>
          <w:szCs w:val="24"/>
        </w:rPr>
        <w:t>estado_t1</w:t>
      </w:r>
      <w:r w:rsidR="00480B70">
        <w:rPr>
          <w:rFonts w:ascii="Times New Roman" w:eastAsia="Times New Roman" w:hAnsi="Times New Roman" w:cs="Times New Roman"/>
          <w:color w:val="000000"/>
          <w:sz w:val="24"/>
          <w:szCs w:val="24"/>
        </w:rPr>
        <w:t xml:space="preserve"> que indica o próximo estado ocupacional do indivíduo. </w:t>
      </w:r>
      <w:r w:rsidR="00A439DC">
        <w:rPr>
          <w:rFonts w:ascii="Times New Roman" w:eastAsia="Times New Roman" w:hAnsi="Times New Roman" w:cs="Times New Roman"/>
          <w:color w:val="000000"/>
          <w:sz w:val="24"/>
          <w:szCs w:val="24"/>
        </w:rPr>
        <w:t xml:space="preserve">Garantido que se preservassem apenas registros de trimestres consecutivos, criou-se uma matriz que </w:t>
      </w:r>
      <w:r w:rsidR="009856AB">
        <w:rPr>
          <w:rFonts w:ascii="Times New Roman" w:eastAsia="Times New Roman" w:hAnsi="Times New Roman" w:cs="Times New Roman"/>
          <w:color w:val="000000"/>
          <w:sz w:val="24"/>
          <w:szCs w:val="24"/>
        </w:rPr>
        <w:t>unem os valores das duas variáveis de estado ocupacional como pares ordenados, e contabilizou-se quantas vezes</w:t>
      </w:r>
      <w:r w:rsidR="00F07C63">
        <w:rPr>
          <w:rFonts w:ascii="Times New Roman" w:eastAsia="Times New Roman" w:hAnsi="Times New Roman" w:cs="Times New Roman"/>
          <w:color w:val="000000"/>
          <w:sz w:val="24"/>
          <w:szCs w:val="24"/>
        </w:rPr>
        <w:t xml:space="preserve"> cada combinação aparece no conjunto de dados. Dividiu-se, então, cada </w:t>
      </w:r>
      <w:r w:rsidR="009B6296">
        <w:rPr>
          <w:rFonts w:ascii="Times New Roman" w:eastAsia="Times New Roman" w:hAnsi="Times New Roman" w:cs="Times New Roman"/>
          <w:color w:val="000000"/>
          <w:sz w:val="24"/>
          <w:szCs w:val="24"/>
        </w:rPr>
        <w:t xml:space="preserve">somatório pelo total de observações, obtendo-se as proporções, ou probabilidades condicionais de transição entre os estados ocupacionais 0 e 1, que representam desemprego e emprego, respectivamente. </w:t>
      </w:r>
    </w:p>
    <w:p w14:paraId="36F8A716" w14:textId="77777777" w:rsidR="00FD03A7" w:rsidRDefault="00FD03A7" w:rsidP="00B70714">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04A07427" w14:textId="7C2EC5AA" w:rsidR="00B70714" w:rsidRDefault="009B6296" w:rsidP="00B70714">
      <w:pPr>
        <w:pBdr>
          <w:top w:val="nil"/>
          <w:left w:val="nil"/>
          <w:bottom w:val="nil"/>
          <w:right w:val="nil"/>
          <w:between w:val="nil"/>
        </w:pBdr>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Como </w:t>
      </w:r>
      <w:r w:rsidR="00725A5B">
        <w:rPr>
          <w:rFonts w:ascii="Times New Roman" w:eastAsia="Times New Roman" w:hAnsi="Times New Roman" w:cs="Times New Roman"/>
          <w:color w:val="000000"/>
          <w:sz w:val="24"/>
          <w:szCs w:val="24"/>
        </w:rPr>
        <w:t xml:space="preserve">o que metodologicamente interessa são as matrizes de transição de cada período para posterior </w:t>
      </w:r>
      <w:r w:rsidR="00D9049B">
        <w:rPr>
          <w:rFonts w:ascii="Times New Roman" w:eastAsia="Times New Roman" w:hAnsi="Times New Roman" w:cs="Times New Roman"/>
          <w:color w:val="000000"/>
          <w:sz w:val="24"/>
          <w:szCs w:val="24"/>
        </w:rPr>
        <w:t>comparação</w:t>
      </w:r>
      <w:r w:rsidR="00725A5B">
        <w:rPr>
          <w:rFonts w:ascii="Times New Roman" w:eastAsia="Times New Roman" w:hAnsi="Times New Roman" w:cs="Times New Roman"/>
          <w:color w:val="000000"/>
          <w:sz w:val="24"/>
          <w:szCs w:val="24"/>
        </w:rPr>
        <w:t>,</w:t>
      </w:r>
      <w:r w:rsidR="00D9049B">
        <w:rPr>
          <w:rFonts w:ascii="Times New Roman" w:eastAsia="Times New Roman" w:hAnsi="Times New Roman" w:cs="Times New Roman"/>
          <w:color w:val="000000"/>
          <w:sz w:val="24"/>
          <w:szCs w:val="24"/>
        </w:rPr>
        <w:t xml:space="preserve"> gerou-se matrizes de Markov para cada período: </w:t>
      </w:r>
      <w:proofErr w:type="spellStart"/>
      <w:r w:rsidR="00D9049B">
        <w:rPr>
          <w:rFonts w:ascii="Times New Roman" w:eastAsia="Times New Roman" w:hAnsi="Times New Roman" w:cs="Times New Roman"/>
          <w:color w:val="000000"/>
          <w:sz w:val="24"/>
          <w:szCs w:val="24"/>
        </w:rPr>
        <w:t>Pré</w:t>
      </w:r>
      <w:proofErr w:type="spellEnd"/>
      <w:r w:rsidR="00D9049B">
        <w:rPr>
          <w:rFonts w:ascii="Times New Roman" w:eastAsia="Times New Roman" w:hAnsi="Times New Roman" w:cs="Times New Roman"/>
          <w:color w:val="000000"/>
          <w:sz w:val="24"/>
          <w:szCs w:val="24"/>
        </w:rPr>
        <w:t xml:space="preserve">-pandemia (2019), </w:t>
      </w:r>
      <w:proofErr w:type="gramStart"/>
      <w:r w:rsidR="00D9049B">
        <w:rPr>
          <w:rFonts w:ascii="Times New Roman" w:eastAsia="Times New Roman" w:hAnsi="Times New Roman" w:cs="Times New Roman"/>
          <w:color w:val="000000"/>
          <w:sz w:val="24"/>
          <w:szCs w:val="24"/>
        </w:rPr>
        <w:t>Durante</w:t>
      </w:r>
      <w:proofErr w:type="gramEnd"/>
      <w:r w:rsidR="00D9049B">
        <w:rPr>
          <w:rFonts w:ascii="Times New Roman" w:eastAsia="Times New Roman" w:hAnsi="Times New Roman" w:cs="Times New Roman"/>
          <w:color w:val="000000"/>
          <w:sz w:val="24"/>
          <w:szCs w:val="24"/>
        </w:rPr>
        <w:t xml:space="preserve"> pandemia (2020-2021) e Pós-pandemia (202</w:t>
      </w:r>
      <w:r w:rsidR="00B338D3">
        <w:rPr>
          <w:rFonts w:ascii="Times New Roman" w:eastAsia="Times New Roman" w:hAnsi="Times New Roman" w:cs="Times New Roman"/>
          <w:color w:val="000000"/>
          <w:sz w:val="24"/>
          <w:szCs w:val="24"/>
        </w:rPr>
        <w:t>2).</w:t>
      </w:r>
    </w:p>
    <w:p w14:paraId="2FB3237B" w14:textId="77777777" w:rsidR="00FD03A7" w:rsidRDefault="00FD03A7" w:rsidP="00B70714">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685B8F80" w14:textId="7FEE2F99" w:rsidR="00FD03A7" w:rsidRPr="00480B70" w:rsidRDefault="00FD03A7" w:rsidP="00B70714">
      <w:pPr>
        <w:pBdr>
          <w:top w:val="nil"/>
          <w:left w:val="nil"/>
          <w:bottom w:val="nil"/>
          <w:right w:val="nil"/>
          <w:between w:val="nil"/>
        </w:pBdr>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Ademais, </w:t>
      </w:r>
      <w:r w:rsidR="00A23BCA">
        <w:rPr>
          <w:rFonts w:ascii="Times New Roman" w:eastAsia="Times New Roman" w:hAnsi="Times New Roman" w:cs="Times New Roman"/>
          <w:color w:val="000000"/>
          <w:sz w:val="24"/>
          <w:szCs w:val="24"/>
        </w:rPr>
        <w:t>a fim de observar o comportamento heterogêneo entre os jovens, construiu-se matrizes para cada grupo de características.</w:t>
      </w:r>
    </w:p>
    <w:p w14:paraId="2D0D3F0B"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0C" w14:textId="77777777" w:rsidR="003B7FBE"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Regressões logísticas e Diferenças-em-Diferenças com interações (DIF-in-DIF), para identificar quais grupos juvenis foram mais penalizados pela pandemia e avaliar heterogeneidades significativas;</w:t>
      </w:r>
    </w:p>
    <w:p w14:paraId="2D0D3F0D" w14:textId="77777777" w:rsidR="003B7FBE" w:rsidRDefault="003B7FBE">
      <w:pPr>
        <w:jc w:val="both"/>
        <w:rPr>
          <w:rFonts w:ascii="Times New Roman" w:eastAsia="Times New Roman" w:hAnsi="Times New Roman" w:cs="Times New Roman"/>
          <w:sz w:val="24"/>
          <w:szCs w:val="24"/>
        </w:rPr>
      </w:pPr>
    </w:p>
    <w:p w14:paraId="2D0D3F0E" w14:textId="77777777" w:rsidR="003B7FBE" w:rsidRDefault="00AE3682">
      <w:pPr>
        <w:numPr>
          <w:ilvl w:val="0"/>
          <w:numId w:val="3"/>
        </w:numPr>
        <w:pBdr>
          <w:top w:val="nil"/>
          <w:left w:val="nil"/>
          <w:bottom w:val="nil"/>
          <w:right w:val="nil"/>
          <w:between w:val="nil"/>
        </w:pBdr>
        <w:ind w:left="709"/>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Estimação da função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Cobb-Douglas, onde a taxa de transição é modelada como função da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(razão entre vagas e desempregados), estimando a eficiência empírica do mercado juvenil;</w:t>
      </w:r>
    </w:p>
    <w:p w14:paraId="2D0D3F0F" w14:textId="77777777" w:rsidR="003B7FBE" w:rsidRDefault="003B7FBE">
      <w:pPr>
        <w:jc w:val="both"/>
        <w:rPr>
          <w:rFonts w:ascii="Times New Roman" w:eastAsia="Times New Roman" w:hAnsi="Times New Roman" w:cs="Times New Roman"/>
          <w:sz w:val="24"/>
          <w:szCs w:val="24"/>
        </w:rPr>
      </w:pPr>
    </w:p>
    <w:p w14:paraId="2D0D3F10" w14:textId="0E4B72B7" w:rsidR="00A23BCA" w:rsidRDefault="00AE3682">
      <w:pPr>
        <w:numPr>
          <w:ilvl w:val="0"/>
          <w:numId w:val="3"/>
        </w:numPr>
        <w:pBdr>
          <w:top w:val="nil"/>
          <w:left w:val="nil"/>
          <w:bottom w:val="nil"/>
          <w:right w:val="nil"/>
          <w:between w:val="nil"/>
        </w:pBdr>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Calibração do modelo estrutural DMP em equilíbrio estacionário, estimando parâmetros não observáveis como produtividade, salário de barganha, valor do tempo livre e custo de vaga.</w:t>
      </w:r>
    </w:p>
    <w:p w14:paraId="7F7C97F7" w14:textId="77777777" w:rsidR="00A23BCA" w:rsidRDefault="00A23BCA">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D0D3F12" w14:textId="77777777" w:rsidR="003B7FBE" w:rsidRDefault="00AE3682">
      <w:pPr>
        <w:pStyle w:val="Ttulo1"/>
        <w:jc w:val="both"/>
        <w:rPr>
          <w:rFonts w:ascii="Times New Roman" w:eastAsia="Times New Roman" w:hAnsi="Times New Roman" w:cs="Times New Roman"/>
        </w:rPr>
      </w:pPr>
      <w:bookmarkStart w:id="17" w:name="_3gwm5hggoqz4" w:colFirst="0" w:colLast="0"/>
      <w:bookmarkEnd w:id="17"/>
      <w:r>
        <w:rPr>
          <w:rFonts w:ascii="Times New Roman" w:eastAsia="Times New Roman" w:hAnsi="Times New Roman" w:cs="Times New Roman"/>
        </w:rPr>
        <w:lastRenderedPageBreak/>
        <w:t>RESULTADOS E ANÁLISES</w:t>
      </w:r>
    </w:p>
    <w:p w14:paraId="2D0D3F13" w14:textId="77777777" w:rsidR="003B7FBE" w:rsidRDefault="003B7FBE">
      <w:pPr>
        <w:jc w:val="both"/>
        <w:rPr>
          <w:rFonts w:ascii="Times New Roman" w:eastAsia="Times New Roman" w:hAnsi="Times New Roman" w:cs="Times New Roman"/>
          <w:b/>
          <w:sz w:val="24"/>
          <w:szCs w:val="24"/>
        </w:rPr>
      </w:pPr>
    </w:p>
    <w:p w14:paraId="2D0D3F14" w14:textId="77777777" w:rsidR="003B7FBE" w:rsidRDefault="00AE3682">
      <w:pPr>
        <w:pStyle w:val="Ttulo2"/>
        <w:numPr>
          <w:ilvl w:val="0"/>
          <w:numId w:val="1"/>
        </w:numPr>
        <w:jc w:val="both"/>
      </w:pPr>
      <w:bookmarkStart w:id="18" w:name="_jitcuzfv45v4" w:colFirst="0" w:colLast="0"/>
      <w:bookmarkEnd w:id="18"/>
      <w:r>
        <w:rPr>
          <w:rFonts w:ascii="Times New Roman" w:eastAsia="Times New Roman" w:hAnsi="Times New Roman" w:cs="Times New Roman"/>
        </w:rPr>
        <w:t>Apresentação dos dados</w:t>
      </w:r>
    </w:p>
    <w:p w14:paraId="2D0D3F15" w14:textId="77777777" w:rsidR="003B7FBE" w:rsidRDefault="003B7FBE">
      <w:pPr>
        <w:jc w:val="both"/>
        <w:rPr>
          <w:rFonts w:ascii="Times New Roman" w:eastAsia="Times New Roman" w:hAnsi="Times New Roman" w:cs="Times New Roman"/>
          <w:sz w:val="24"/>
          <w:szCs w:val="24"/>
        </w:rPr>
      </w:pPr>
    </w:p>
    <w:p w14:paraId="2D0D3F1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 painel longitudinal da PNAD foi construído com cerca de 1,8 milhão de observações juvenis, emparelhadas entre trimestres consecutivos, permitindo mensuração direta de transições ocupacionais. As admissões do CAGED foram agregadas trimestralmente por faixa etária e cruzadas com as séries da PNAD, possibilitando a estimação de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 eficiência do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para jovens, homens, mulheres e grupos escolares.</w:t>
      </w:r>
    </w:p>
    <w:p w14:paraId="2A67786C" w14:textId="77777777" w:rsidR="00A23BCA" w:rsidRDefault="00A23BCA">
      <w:pPr>
        <w:ind w:left="360"/>
        <w:jc w:val="both"/>
        <w:rPr>
          <w:rFonts w:ascii="Times New Roman" w:eastAsia="Times New Roman" w:hAnsi="Times New Roman" w:cs="Times New Roman"/>
          <w:sz w:val="24"/>
          <w:szCs w:val="24"/>
        </w:rPr>
      </w:pPr>
    </w:p>
    <w:p w14:paraId="78EFBCC8" w14:textId="478A02B0" w:rsidR="00A23BCA" w:rsidRDefault="00A23BCA">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Pode-se construir as seguintes matrizes de </w:t>
      </w:r>
      <w:r w:rsidR="008F1B4F">
        <w:rPr>
          <w:rFonts w:ascii="Times New Roman" w:eastAsia="Times New Roman" w:hAnsi="Times New Roman" w:cs="Times New Roman"/>
          <w:sz w:val="24"/>
          <w:szCs w:val="24"/>
        </w:rPr>
        <w:t>transição:</w:t>
      </w:r>
    </w:p>
    <w:p w14:paraId="293BA0EE" w14:textId="74716BA8" w:rsidR="008F1B4F" w:rsidRDefault="008F1B4F" w:rsidP="008F1B4F">
      <w:pPr>
        <w:pStyle w:val="PargrafodaLista"/>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Jovens em geral:</w:t>
      </w:r>
    </w:p>
    <w:p w14:paraId="20636EE9" w14:textId="77777777" w:rsidR="008F1B4F" w:rsidRPr="008F1B4F" w:rsidRDefault="008F1B4F" w:rsidP="008F1B4F">
      <w:pPr>
        <w:pStyle w:val="PargrafodaLista"/>
        <w:jc w:val="both"/>
        <w:rPr>
          <w:rFonts w:ascii="Times New Roman" w:eastAsia="Times New Roman" w:hAnsi="Times New Roman" w:cs="Times New Roman"/>
          <w:sz w:val="24"/>
          <w:szCs w:val="24"/>
        </w:rPr>
      </w:pPr>
    </w:p>
    <w:tbl>
      <w:tblPr>
        <w:tblStyle w:val="Tabelacomgrade"/>
        <w:tblW w:w="0" w:type="auto"/>
        <w:tblInd w:w="720" w:type="dxa"/>
        <w:tblLook w:val="04A0" w:firstRow="1" w:lastRow="0" w:firstColumn="1" w:lastColumn="0" w:noHBand="0" w:noVBand="1"/>
      </w:tblPr>
      <w:tblGrid>
        <w:gridCol w:w="8343"/>
      </w:tblGrid>
      <w:tr w:rsidR="008F1B4F" w:rsidRPr="00825087" w14:paraId="1115D739" w14:textId="77777777" w:rsidTr="00057AE5">
        <w:tc>
          <w:tcPr>
            <w:tcW w:w="9063" w:type="dxa"/>
          </w:tcPr>
          <w:tbl>
            <w:tblPr>
              <w:tblW w:w="8117" w:type="dxa"/>
              <w:tblCellMar>
                <w:left w:w="70" w:type="dxa"/>
                <w:right w:w="70" w:type="dxa"/>
              </w:tblCellMar>
              <w:tblLook w:val="04A0" w:firstRow="1" w:lastRow="0" w:firstColumn="1" w:lastColumn="0" w:noHBand="0" w:noVBand="1"/>
            </w:tblPr>
            <w:tblGrid>
              <w:gridCol w:w="1150"/>
              <w:gridCol w:w="1134"/>
              <w:gridCol w:w="850"/>
              <w:gridCol w:w="1276"/>
              <w:gridCol w:w="1134"/>
              <w:gridCol w:w="1134"/>
              <w:gridCol w:w="1439"/>
            </w:tblGrid>
            <w:tr w:rsidR="008F1B4F" w:rsidRPr="00825087" w14:paraId="53A13644" w14:textId="77777777" w:rsidTr="00057AE5">
              <w:trPr>
                <w:trHeight w:val="288"/>
              </w:trPr>
              <w:tc>
                <w:tcPr>
                  <w:tcW w:w="3134" w:type="dxa"/>
                  <w:gridSpan w:val="3"/>
                  <w:tcBorders>
                    <w:top w:val="single" w:sz="4" w:space="0" w:color="auto"/>
                    <w:left w:val="single" w:sz="4" w:space="0" w:color="auto"/>
                    <w:bottom w:val="single" w:sz="4" w:space="0" w:color="auto"/>
                    <w:right w:val="single" w:sz="4" w:space="0" w:color="000000"/>
                  </w:tcBorders>
                  <w:shd w:val="clear" w:color="auto" w:fill="auto"/>
                  <w:noWrap/>
                  <w:vAlign w:val="bottom"/>
                  <w:hideMark/>
                </w:tcPr>
                <w:p w14:paraId="6F998B92" w14:textId="77777777" w:rsidR="008F1B4F" w:rsidRPr="00825087" w:rsidRDefault="008F1B4F" w:rsidP="00057AE5">
                  <w:pPr>
                    <w:spacing w:line="240" w:lineRule="auto"/>
                    <w:jc w:val="center"/>
                    <w:rPr>
                      <w:rFonts w:ascii="Aptos Narrow" w:eastAsia="Times New Roman" w:hAnsi="Aptos Narrow" w:cs="Times New Roman"/>
                      <w:color w:val="000000"/>
                      <w:sz w:val="18"/>
                      <w:szCs w:val="18"/>
                    </w:rPr>
                  </w:pPr>
                  <w:proofErr w:type="spellStart"/>
                  <w:r w:rsidRPr="00825087">
                    <w:rPr>
                      <w:rFonts w:ascii="Aptos Narrow" w:eastAsia="Times New Roman" w:hAnsi="Aptos Narrow" w:cs="Times New Roman"/>
                      <w:color w:val="000000"/>
                      <w:sz w:val="18"/>
                      <w:szCs w:val="18"/>
                    </w:rPr>
                    <w:t>Pré</w:t>
                  </w:r>
                  <w:proofErr w:type="spellEnd"/>
                  <w:r w:rsidRPr="00825087">
                    <w:rPr>
                      <w:rFonts w:ascii="Aptos Narrow" w:eastAsia="Times New Roman" w:hAnsi="Aptos Narrow" w:cs="Times New Roman"/>
                      <w:color w:val="000000"/>
                      <w:sz w:val="18"/>
                      <w:szCs w:val="18"/>
                    </w:rPr>
                    <w:t>-pandemia</w:t>
                  </w:r>
                </w:p>
              </w:tc>
              <w:tc>
                <w:tcPr>
                  <w:tcW w:w="2410"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708C5A52" w14:textId="77777777" w:rsidR="008F1B4F" w:rsidRPr="00825087" w:rsidRDefault="008F1B4F" w:rsidP="00057AE5">
                  <w:pPr>
                    <w:spacing w:line="240" w:lineRule="auto"/>
                    <w:jc w:val="center"/>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Durante pandemia</w:t>
                  </w:r>
                </w:p>
              </w:tc>
              <w:tc>
                <w:tcPr>
                  <w:tcW w:w="2573" w:type="dxa"/>
                  <w:gridSpan w:val="2"/>
                  <w:tcBorders>
                    <w:top w:val="single" w:sz="4" w:space="0" w:color="auto"/>
                    <w:left w:val="nil"/>
                    <w:bottom w:val="single" w:sz="4" w:space="0" w:color="auto"/>
                    <w:right w:val="single" w:sz="4" w:space="0" w:color="000000"/>
                  </w:tcBorders>
                  <w:shd w:val="clear" w:color="auto" w:fill="auto"/>
                  <w:noWrap/>
                  <w:vAlign w:val="bottom"/>
                  <w:hideMark/>
                </w:tcPr>
                <w:p w14:paraId="5371E669" w14:textId="77777777" w:rsidR="008F1B4F" w:rsidRPr="00825087" w:rsidRDefault="008F1B4F" w:rsidP="00057AE5">
                  <w:pPr>
                    <w:spacing w:line="240" w:lineRule="auto"/>
                    <w:jc w:val="center"/>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Pós-pandemia</w:t>
                  </w:r>
                </w:p>
              </w:tc>
            </w:tr>
            <w:tr w:rsidR="008F1B4F" w:rsidRPr="00825087" w14:paraId="3F325CC8" w14:textId="77777777" w:rsidTr="00057AE5">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6AABACA9"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 </w:t>
                  </w:r>
                </w:p>
              </w:tc>
              <w:tc>
                <w:tcPr>
                  <w:tcW w:w="1134" w:type="dxa"/>
                  <w:tcBorders>
                    <w:top w:val="nil"/>
                    <w:left w:val="nil"/>
                    <w:bottom w:val="single" w:sz="4" w:space="0" w:color="auto"/>
                    <w:right w:val="single" w:sz="4" w:space="0" w:color="auto"/>
                  </w:tcBorders>
                  <w:shd w:val="clear" w:color="auto" w:fill="auto"/>
                  <w:noWrap/>
                  <w:vAlign w:val="bottom"/>
                  <w:hideMark/>
                </w:tcPr>
                <w:p w14:paraId="570BC70E"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850" w:type="dxa"/>
                  <w:tcBorders>
                    <w:top w:val="nil"/>
                    <w:left w:val="nil"/>
                    <w:bottom w:val="single" w:sz="4" w:space="0" w:color="auto"/>
                    <w:right w:val="single" w:sz="4" w:space="0" w:color="auto"/>
                  </w:tcBorders>
                  <w:shd w:val="clear" w:color="auto" w:fill="auto"/>
                  <w:noWrap/>
                  <w:vAlign w:val="bottom"/>
                  <w:hideMark/>
                </w:tcPr>
                <w:p w14:paraId="79E040FE"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276" w:type="dxa"/>
                  <w:tcBorders>
                    <w:top w:val="nil"/>
                    <w:left w:val="nil"/>
                    <w:bottom w:val="single" w:sz="4" w:space="0" w:color="auto"/>
                    <w:right w:val="single" w:sz="4" w:space="0" w:color="auto"/>
                  </w:tcBorders>
                  <w:shd w:val="clear" w:color="auto" w:fill="auto"/>
                  <w:noWrap/>
                  <w:vAlign w:val="bottom"/>
                  <w:hideMark/>
                </w:tcPr>
                <w:p w14:paraId="2B2A5978"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shd w:val="clear" w:color="auto" w:fill="auto"/>
                  <w:noWrap/>
                  <w:vAlign w:val="bottom"/>
                  <w:hideMark/>
                </w:tcPr>
                <w:p w14:paraId="12B71A8D"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shd w:val="clear" w:color="auto" w:fill="auto"/>
                  <w:noWrap/>
                  <w:vAlign w:val="bottom"/>
                  <w:hideMark/>
                </w:tcPr>
                <w:p w14:paraId="1582516B"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439" w:type="dxa"/>
                  <w:tcBorders>
                    <w:top w:val="nil"/>
                    <w:left w:val="nil"/>
                    <w:bottom w:val="single" w:sz="4" w:space="0" w:color="auto"/>
                    <w:right w:val="single" w:sz="4" w:space="0" w:color="auto"/>
                  </w:tcBorders>
                  <w:shd w:val="clear" w:color="auto" w:fill="auto"/>
                  <w:noWrap/>
                  <w:vAlign w:val="bottom"/>
                  <w:hideMark/>
                </w:tcPr>
                <w:p w14:paraId="437A2035"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r>
            <w:tr w:rsidR="008F1B4F" w:rsidRPr="00825087" w14:paraId="2D24EB22" w14:textId="77777777" w:rsidTr="00057AE5">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0A1E4218"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Desemprego</w:t>
                  </w:r>
                </w:p>
              </w:tc>
              <w:tc>
                <w:tcPr>
                  <w:tcW w:w="1134" w:type="dxa"/>
                  <w:tcBorders>
                    <w:top w:val="nil"/>
                    <w:left w:val="nil"/>
                    <w:bottom w:val="single" w:sz="4" w:space="0" w:color="auto"/>
                    <w:right w:val="single" w:sz="4" w:space="0" w:color="auto"/>
                  </w:tcBorders>
                  <w:shd w:val="clear" w:color="auto" w:fill="auto"/>
                  <w:noWrap/>
                  <w:vAlign w:val="bottom"/>
                  <w:hideMark/>
                </w:tcPr>
                <w:p w14:paraId="45DA599A"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0,628</w:t>
                  </w:r>
                </w:p>
              </w:tc>
              <w:tc>
                <w:tcPr>
                  <w:tcW w:w="850" w:type="dxa"/>
                  <w:tcBorders>
                    <w:top w:val="nil"/>
                    <w:left w:val="nil"/>
                    <w:bottom w:val="single" w:sz="4" w:space="0" w:color="auto"/>
                    <w:right w:val="single" w:sz="4" w:space="0" w:color="auto"/>
                  </w:tcBorders>
                  <w:shd w:val="clear" w:color="auto" w:fill="auto"/>
                  <w:noWrap/>
                  <w:vAlign w:val="bottom"/>
                  <w:hideMark/>
                </w:tcPr>
                <w:p w14:paraId="64AC3C57"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0,372</w:t>
                  </w:r>
                </w:p>
              </w:tc>
              <w:tc>
                <w:tcPr>
                  <w:tcW w:w="1276" w:type="dxa"/>
                  <w:tcBorders>
                    <w:top w:val="nil"/>
                    <w:left w:val="nil"/>
                    <w:bottom w:val="single" w:sz="4" w:space="0" w:color="auto"/>
                    <w:right w:val="single" w:sz="4" w:space="0" w:color="auto"/>
                  </w:tcBorders>
                  <w:shd w:val="clear" w:color="auto" w:fill="auto"/>
                  <w:noWrap/>
                  <w:vAlign w:val="bottom"/>
                  <w:hideMark/>
                </w:tcPr>
                <w:p w14:paraId="3E93B5D0"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0,798</w:t>
                  </w:r>
                </w:p>
              </w:tc>
              <w:tc>
                <w:tcPr>
                  <w:tcW w:w="1134" w:type="dxa"/>
                  <w:tcBorders>
                    <w:top w:val="nil"/>
                    <w:left w:val="nil"/>
                    <w:bottom w:val="single" w:sz="4" w:space="0" w:color="auto"/>
                    <w:right w:val="single" w:sz="4" w:space="0" w:color="auto"/>
                  </w:tcBorders>
                  <w:shd w:val="clear" w:color="auto" w:fill="auto"/>
                  <w:noWrap/>
                  <w:vAlign w:val="bottom"/>
                  <w:hideMark/>
                </w:tcPr>
                <w:p w14:paraId="43B2CF18"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0,202</w:t>
                  </w:r>
                </w:p>
              </w:tc>
              <w:tc>
                <w:tcPr>
                  <w:tcW w:w="1134" w:type="dxa"/>
                  <w:tcBorders>
                    <w:top w:val="nil"/>
                    <w:left w:val="nil"/>
                    <w:bottom w:val="single" w:sz="4" w:space="0" w:color="auto"/>
                    <w:right w:val="single" w:sz="4" w:space="0" w:color="auto"/>
                  </w:tcBorders>
                  <w:shd w:val="clear" w:color="auto" w:fill="auto"/>
                  <w:noWrap/>
                  <w:vAlign w:val="bottom"/>
                  <w:hideMark/>
                </w:tcPr>
                <w:p w14:paraId="3DBFA017"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0,542</w:t>
                  </w:r>
                </w:p>
              </w:tc>
              <w:tc>
                <w:tcPr>
                  <w:tcW w:w="1439" w:type="dxa"/>
                  <w:tcBorders>
                    <w:top w:val="nil"/>
                    <w:left w:val="nil"/>
                    <w:bottom w:val="single" w:sz="4" w:space="0" w:color="auto"/>
                    <w:right w:val="single" w:sz="4" w:space="0" w:color="auto"/>
                  </w:tcBorders>
                  <w:shd w:val="clear" w:color="auto" w:fill="auto"/>
                  <w:noWrap/>
                  <w:vAlign w:val="bottom"/>
                  <w:hideMark/>
                </w:tcPr>
                <w:p w14:paraId="7B6D5A0F"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0,458</w:t>
                  </w:r>
                </w:p>
              </w:tc>
            </w:tr>
            <w:tr w:rsidR="008F1B4F" w:rsidRPr="00825087" w14:paraId="0A0DB456" w14:textId="77777777" w:rsidTr="00057AE5">
              <w:trPr>
                <w:trHeight w:val="288"/>
              </w:trPr>
              <w:tc>
                <w:tcPr>
                  <w:tcW w:w="1150" w:type="dxa"/>
                  <w:tcBorders>
                    <w:top w:val="nil"/>
                    <w:left w:val="single" w:sz="4" w:space="0" w:color="auto"/>
                    <w:bottom w:val="single" w:sz="4" w:space="0" w:color="auto"/>
                    <w:right w:val="single" w:sz="4" w:space="0" w:color="auto"/>
                  </w:tcBorders>
                  <w:shd w:val="clear" w:color="auto" w:fill="auto"/>
                  <w:noWrap/>
                  <w:vAlign w:val="bottom"/>
                  <w:hideMark/>
                </w:tcPr>
                <w:p w14:paraId="7C5D5096" w14:textId="77777777" w:rsidR="008F1B4F" w:rsidRPr="00825087" w:rsidRDefault="008F1B4F" w:rsidP="00057AE5">
                  <w:pPr>
                    <w:spacing w:line="240" w:lineRule="auto"/>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Emprego</w:t>
                  </w:r>
                </w:p>
              </w:tc>
              <w:tc>
                <w:tcPr>
                  <w:tcW w:w="1134" w:type="dxa"/>
                  <w:tcBorders>
                    <w:top w:val="nil"/>
                    <w:left w:val="nil"/>
                    <w:bottom w:val="single" w:sz="4" w:space="0" w:color="auto"/>
                    <w:right w:val="single" w:sz="4" w:space="0" w:color="auto"/>
                  </w:tcBorders>
                  <w:shd w:val="clear" w:color="auto" w:fill="auto"/>
                  <w:noWrap/>
                  <w:vAlign w:val="bottom"/>
                  <w:hideMark/>
                </w:tcPr>
                <w:p w14:paraId="22E99782"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0,068</w:t>
                  </w:r>
                </w:p>
              </w:tc>
              <w:tc>
                <w:tcPr>
                  <w:tcW w:w="850" w:type="dxa"/>
                  <w:tcBorders>
                    <w:top w:val="nil"/>
                    <w:left w:val="nil"/>
                    <w:bottom w:val="single" w:sz="4" w:space="0" w:color="auto"/>
                    <w:right w:val="single" w:sz="4" w:space="0" w:color="auto"/>
                  </w:tcBorders>
                  <w:shd w:val="clear" w:color="auto" w:fill="auto"/>
                  <w:noWrap/>
                  <w:vAlign w:val="bottom"/>
                  <w:hideMark/>
                </w:tcPr>
                <w:p w14:paraId="76662A5E"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0,932</w:t>
                  </w:r>
                </w:p>
              </w:tc>
              <w:tc>
                <w:tcPr>
                  <w:tcW w:w="1276" w:type="dxa"/>
                  <w:tcBorders>
                    <w:top w:val="nil"/>
                    <w:left w:val="nil"/>
                    <w:bottom w:val="single" w:sz="4" w:space="0" w:color="auto"/>
                    <w:right w:val="single" w:sz="4" w:space="0" w:color="auto"/>
                  </w:tcBorders>
                  <w:shd w:val="clear" w:color="auto" w:fill="auto"/>
                  <w:noWrap/>
                  <w:vAlign w:val="bottom"/>
                  <w:hideMark/>
                </w:tcPr>
                <w:p w14:paraId="487457AD"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0,049</w:t>
                  </w:r>
                </w:p>
              </w:tc>
              <w:tc>
                <w:tcPr>
                  <w:tcW w:w="1134" w:type="dxa"/>
                  <w:tcBorders>
                    <w:top w:val="nil"/>
                    <w:left w:val="nil"/>
                    <w:bottom w:val="single" w:sz="4" w:space="0" w:color="auto"/>
                    <w:right w:val="single" w:sz="4" w:space="0" w:color="auto"/>
                  </w:tcBorders>
                  <w:shd w:val="clear" w:color="auto" w:fill="auto"/>
                  <w:noWrap/>
                  <w:vAlign w:val="bottom"/>
                  <w:hideMark/>
                </w:tcPr>
                <w:p w14:paraId="325467AF"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0,951</w:t>
                  </w:r>
                </w:p>
              </w:tc>
              <w:tc>
                <w:tcPr>
                  <w:tcW w:w="1134" w:type="dxa"/>
                  <w:tcBorders>
                    <w:top w:val="nil"/>
                    <w:left w:val="nil"/>
                    <w:bottom w:val="single" w:sz="4" w:space="0" w:color="auto"/>
                    <w:right w:val="single" w:sz="4" w:space="0" w:color="auto"/>
                  </w:tcBorders>
                  <w:shd w:val="clear" w:color="auto" w:fill="auto"/>
                  <w:noWrap/>
                  <w:vAlign w:val="bottom"/>
                  <w:hideMark/>
                </w:tcPr>
                <w:p w14:paraId="6B1A6443"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0,052</w:t>
                  </w:r>
                </w:p>
              </w:tc>
              <w:tc>
                <w:tcPr>
                  <w:tcW w:w="1439" w:type="dxa"/>
                  <w:tcBorders>
                    <w:top w:val="nil"/>
                    <w:left w:val="nil"/>
                    <w:bottom w:val="single" w:sz="4" w:space="0" w:color="auto"/>
                    <w:right w:val="single" w:sz="4" w:space="0" w:color="auto"/>
                  </w:tcBorders>
                  <w:shd w:val="clear" w:color="auto" w:fill="auto"/>
                  <w:noWrap/>
                  <w:vAlign w:val="bottom"/>
                  <w:hideMark/>
                </w:tcPr>
                <w:p w14:paraId="6E854750" w14:textId="77777777" w:rsidR="008F1B4F" w:rsidRPr="00825087" w:rsidRDefault="008F1B4F" w:rsidP="00057AE5">
                  <w:pPr>
                    <w:spacing w:line="240" w:lineRule="auto"/>
                    <w:jc w:val="right"/>
                    <w:rPr>
                      <w:rFonts w:ascii="Aptos Narrow" w:eastAsia="Times New Roman" w:hAnsi="Aptos Narrow" w:cs="Times New Roman"/>
                      <w:color w:val="000000"/>
                      <w:sz w:val="18"/>
                      <w:szCs w:val="18"/>
                    </w:rPr>
                  </w:pPr>
                  <w:r w:rsidRPr="00825087">
                    <w:rPr>
                      <w:rFonts w:ascii="Aptos Narrow" w:eastAsia="Times New Roman" w:hAnsi="Aptos Narrow" w:cs="Times New Roman"/>
                      <w:color w:val="000000"/>
                      <w:sz w:val="18"/>
                      <w:szCs w:val="18"/>
                    </w:rPr>
                    <w:t>0,948</w:t>
                  </w:r>
                </w:p>
              </w:tc>
            </w:tr>
          </w:tbl>
          <w:p w14:paraId="4ACC0CDA" w14:textId="77777777" w:rsidR="008F1B4F" w:rsidRPr="00825087" w:rsidRDefault="008F1B4F" w:rsidP="00057AE5">
            <w:pPr>
              <w:pStyle w:val="PargrafodaLista"/>
              <w:ind w:left="0"/>
              <w:rPr>
                <w:rFonts w:ascii="Times New Roman" w:eastAsiaTheme="minorEastAsia" w:hAnsi="Times New Roman" w:cs="Times New Roman"/>
                <w:sz w:val="18"/>
                <w:szCs w:val="18"/>
              </w:rPr>
            </w:pPr>
          </w:p>
        </w:tc>
      </w:tr>
    </w:tbl>
    <w:p w14:paraId="09A565B6" w14:textId="77777777" w:rsidR="008F1B4F" w:rsidRPr="008F1B4F" w:rsidRDefault="008F1B4F" w:rsidP="008F1B4F">
      <w:pPr>
        <w:pStyle w:val="PargrafodaLista"/>
        <w:jc w:val="both"/>
        <w:rPr>
          <w:rFonts w:ascii="Times New Roman" w:eastAsia="Times New Roman" w:hAnsi="Times New Roman" w:cs="Times New Roman"/>
          <w:sz w:val="24"/>
          <w:szCs w:val="24"/>
        </w:rPr>
      </w:pPr>
    </w:p>
    <w:p w14:paraId="2D0D3F17" w14:textId="1CA5B3E9" w:rsidR="003B7FBE" w:rsidRDefault="00F46402" w:rsidP="008F1B4F">
      <w:pPr>
        <w:pStyle w:val="PargrafodaLista"/>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sexo:</w:t>
      </w:r>
    </w:p>
    <w:tbl>
      <w:tblPr>
        <w:tblStyle w:val="Tabelacomgrade"/>
        <w:tblW w:w="0" w:type="auto"/>
        <w:tblInd w:w="720" w:type="dxa"/>
        <w:tblLook w:val="04A0" w:firstRow="1" w:lastRow="0" w:firstColumn="1" w:lastColumn="0" w:noHBand="0" w:noVBand="1"/>
      </w:tblPr>
      <w:tblGrid>
        <w:gridCol w:w="8343"/>
      </w:tblGrid>
      <w:tr w:rsidR="00BE4AA1" w14:paraId="1CF0EF59" w14:textId="77777777" w:rsidTr="00BE4AA1">
        <w:tc>
          <w:tcPr>
            <w:tcW w:w="9063" w:type="dxa"/>
          </w:tcPr>
          <w:tbl>
            <w:tblPr>
              <w:tblW w:w="11940" w:type="dxa"/>
              <w:tblCellMar>
                <w:left w:w="70" w:type="dxa"/>
                <w:right w:w="70" w:type="dxa"/>
              </w:tblCellMar>
              <w:tblLook w:val="04A0" w:firstRow="1" w:lastRow="0" w:firstColumn="1" w:lastColumn="0" w:noHBand="0" w:noVBand="1"/>
            </w:tblPr>
            <w:tblGrid>
              <w:gridCol w:w="721"/>
              <w:gridCol w:w="721"/>
              <w:gridCol w:w="721"/>
              <w:gridCol w:w="720"/>
              <w:gridCol w:w="654"/>
              <w:gridCol w:w="654"/>
              <w:gridCol w:w="654"/>
              <w:gridCol w:w="654"/>
              <w:gridCol w:w="725"/>
              <w:gridCol w:w="725"/>
              <w:gridCol w:w="584"/>
              <w:gridCol w:w="584"/>
            </w:tblGrid>
            <w:tr w:rsidR="00BE4AA1" w:rsidRPr="00BE4AA1" w14:paraId="20F3AB82" w14:textId="77777777" w:rsidTr="00BE4AA1">
              <w:trPr>
                <w:trHeight w:val="288"/>
              </w:trPr>
              <w:tc>
                <w:tcPr>
                  <w:tcW w:w="4260" w:type="dxa"/>
                  <w:gridSpan w:val="4"/>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0088850C"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proofErr w:type="spellStart"/>
                  <w:r w:rsidRPr="00BE4AA1">
                    <w:rPr>
                      <w:rFonts w:ascii="Aptos Narrow" w:eastAsia="Times New Roman" w:hAnsi="Aptos Narrow" w:cs="Times New Roman"/>
                      <w:color w:val="000000"/>
                      <w:sz w:val="18"/>
                      <w:szCs w:val="18"/>
                    </w:rPr>
                    <w:t>Pré</w:t>
                  </w:r>
                  <w:proofErr w:type="spellEnd"/>
                  <w:r w:rsidRPr="00BE4AA1">
                    <w:rPr>
                      <w:rFonts w:ascii="Aptos Narrow" w:eastAsia="Times New Roman" w:hAnsi="Aptos Narrow" w:cs="Times New Roman"/>
                      <w:color w:val="000000"/>
                      <w:sz w:val="18"/>
                      <w:szCs w:val="18"/>
                    </w:rPr>
                    <w:t>-pandemia</w:t>
                  </w:r>
                </w:p>
              </w:tc>
              <w:tc>
                <w:tcPr>
                  <w:tcW w:w="3840" w:type="dxa"/>
                  <w:gridSpan w:val="4"/>
                  <w:tcBorders>
                    <w:top w:val="single" w:sz="4" w:space="0" w:color="auto"/>
                    <w:left w:val="nil"/>
                    <w:bottom w:val="single" w:sz="4" w:space="0" w:color="auto"/>
                    <w:right w:val="single" w:sz="4" w:space="0" w:color="auto"/>
                  </w:tcBorders>
                  <w:shd w:val="clear" w:color="auto" w:fill="auto"/>
                  <w:noWrap/>
                  <w:vAlign w:val="bottom"/>
                  <w:hideMark/>
                </w:tcPr>
                <w:p w14:paraId="1064CBF8"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Durante a Pandemia</w:t>
                  </w:r>
                </w:p>
              </w:tc>
              <w:tc>
                <w:tcPr>
                  <w:tcW w:w="3840" w:type="dxa"/>
                  <w:gridSpan w:val="4"/>
                  <w:tcBorders>
                    <w:top w:val="single" w:sz="4" w:space="0" w:color="auto"/>
                    <w:left w:val="nil"/>
                    <w:bottom w:val="single" w:sz="4" w:space="0" w:color="auto"/>
                    <w:right w:val="single" w:sz="4" w:space="0" w:color="auto"/>
                  </w:tcBorders>
                  <w:shd w:val="clear" w:color="auto" w:fill="auto"/>
                  <w:noWrap/>
                  <w:vAlign w:val="bottom"/>
                  <w:hideMark/>
                </w:tcPr>
                <w:p w14:paraId="05F19BD3"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Pós-pandemia</w:t>
                  </w:r>
                </w:p>
              </w:tc>
            </w:tr>
            <w:tr w:rsidR="00BE4AA1" w:rsidRPr="00BE4AA1" w14:paraId="6ED5F604" w14:textId="77777777" w:rsidTr="00BE4AA1">
              <w:trPr>
                <w:trHeight w:val="288"/>
              </w:trPr>
              <w:tc>
                <w:tcPr>
                  <w:tcW w:w="213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3F075EC0"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2130" w:type="dxa"/>
                  <w:gridSpan w:val="2"/>
                  <w:tcBorders>
                    <w:top w:val="single" w:sz="4" w:space="0" w:color="auto"/>
                    <w:left w:val="nil"/>
                    <w:bottom w:val="single" w:sz="4" w:space="0" w:color="auto"/>
                    <w:right w:val="single" w:sz="4" w:space="0" w:color="auto"/>
                  </w:tcBorders>
                  <w:shd w:val="clear" w:color="auto" w:fill="auto"/>
                  <w:noWrap/>
                  <w:vAlign w:val="bottom"/>
                  <w:hideMark/>
                </w:tcPr>
                <w:p w14:paraId="18CAB6A5"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33CD8D4B"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6FB2364F"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c>
                <w:tcPr>
                  <w:tcW w:w="2144" w:type="dxa"/>
                  <w:gridSpan w:val="2"/>
                  <w:tcBorders>
                    <w:top w:val="single" w:sz="4" w:space="0" w:color="auto"/>
                    <w:left w:val="nil"/>
                    <w:bottom w:val="single" w:sz="4" w:space="0" w:color="auto"/>
                    <w:right w:val="single" w:sz="4" w:space="0" w:color="auto"/>
                  </w:tcBorders>
                  <w:shd w:val="clear" w:color="auto" w:fill="auto"/>
                  <w:noWrap/>
                  <w:vAlign w:val="bottom"/>
                  <w:hideMark/>
                </w:tcPr>
                <w:p w14:paraId="22DA5A27"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Mulher</w:t>
                  </w:r>
                </w:p>
              </w:tc>
              <w:tc>
                <w:tcPr>
                  <w:tcW w:w="1696" w:type="dxa"/>
                  <w:gridSpan w:val="2"/>
                  <w:tcBorders>
                    <w:top w:val="single" w:sz="4" w:space="0" w:color="auto"/>
                    <w:left w:val="nil"/>
                    <w:bottom w:val="single" w:sz="4" w:space="0" w:color="auto"/>
                    <w:right w:val="single" w:sz="4" w:space="0" w:color="auto"/>
                  </w:tcBorders>
                  <w:shd w:val="clear" w:color="auto" w:fill="auto"/>
                  <w:noWrap/>
                  <w:vAlign w:val="bottom"/>
                  <w:hideMark/>
                </w:tcPr>
                <w:p w14:paraId="2DC161E9" w14:textId="77777777" w:rsidR="00BE4AA1" w:rsidRPr="00BE4AA1" w:rsidRDefault="00BE4AA1" w:rsidP="00BE4AA1">
                  <w:pPr>
                    <w:spacing w:line="240" w:lineRule="auto"/>
                    <w:jc w:val="center"/>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Homem</w:t>
                  </w:r>
                </w:p>
              </w:tc>
            </w:tr>
            <w:tr w:rsidR="00BE4AA1" w:rsidRPr="00BE4AA1" w14:paraId="18DDA3C8" w14:textId="77777777" w:rsidTr="00BE4AA1">
              <w:trPr>
                <w:trHeight w:val="288"/>
              </w:trPr>
              <w:tc>
                <w:tcPr>
                  <w:tcW w:w="1065" w:type="dxa"/>
                  <w:tcBorders>
                    <w:top w:val="nil"/>
                    <w:left w:val="single" w:sz="4" w:space="0" w:color="auto"/>
                    <w:bottom w:val="single" w:sz="4" w:space="0" w:color="auto"/>
                    <w:right w:val="single" w:sz="4" w:space="0" w:color="auto"/>
                  </w:tcBorders>
                  <w:shd w:val="clear" w:color="auto" w:fill="auto"/>
                  <w:noWrap/>
                  <w:vAlign w:val="bottom"/>
                  <w:hideMark/>
                </w:tcPr>
                <w:p w14:paraId="214BF782"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0,67</w:t>
                  </w:r>
                </w:p>
              </w:tc>
              <w:tc>
                <w:tcPr>
                  <w:tcW w:w="1065" w:type="dxa"/>
                  <w:tcBorders>
                    <w:top w:val="nil"/>
                    <w:left w:val="nil"/>
                    <w:bottom w:val="single" w:sz="4" w:space="0" w:color="auto"/>
                    <w:right w:val="single" w:sz="4" w:space="0" w:color="auto"/>
                  </w:tcBorders>
                  <w:shd w:val="clear" w:color="auto" w:fill="auto"/>
                  <w:noWrap/>
                  <w:vAlign w:val="bottom"/>
                  <w:hideMark/>
                </w:tcPr>
                <w:p w14:paraId="7A62FA09"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0,33</w:t>
                  </w:r>
                </w:p>
              </w:tc>
              <w:tc>
                <w:tcPr>
                  <w:tcW w:w="1065" w:type="dxa"/>
                  <w:tcBorders>
                    <w:top w:val="nil"/>
                    <w:left w:val="nil"/>
                    <w:bottom w:val="single" w:sz="4" w:space="0" w:color="auto"/>
                    <w:right w:val="single" w:sz="4" w:space="0" w:color="auto"/>
                  </w:tcBorders>
                  <w:shd w:val="clear" w:color="auto" w:fill="auto"/>
                  <w:noWrap/>
                  <w:vAlign w:val="bottom"/>
                  <w:hideMark/>
                </w:tcPr>
                <w:p w14:paraId="421F13DF"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65" w:type="dxa"/>
                  <w:tcBorders>
                    <w:top w:val="nil"/>
                    <w:left w:val="nil"/>
                    <w:bottom w:val="single" w:sz="4" w:space="0" w:color="auto"/>
                    <w:right w:val="single" w:sz="4" w:space="0" w:color="auto"/>
                  </w:tcBorders>
                  <w:shd w:val="clear" w:color="auto" w:fill="auto"/>
                  <w:noWrap/>
                  <w:vAlign w:val="bottom"/>
                  <w:hideMark/>
                </w:tcPr>
                <w:p w14:paraId="3D4A1B5E"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960" w:type="dxa"/>
                  <w:tcBorders>
                    <w:top w:val="nil"/>
                    <w:left w:val="nil"/>
                    <w:bottom w:val="single" w:sz="4" w:space="0" w:color="auto"/>
                    <w:right w:val="single" w:sz="4" w:space="0" w:color="auto"/>
                  </w:tcBorders>
                  <w:shd w:val="clear" w:color="auto" w:fill="auto"/>
                  <w:noWrap/>
                  <w:vAlign w:val="bottom"/>
                  <w:hideMark/>
                </w:tcPr>
                <w:p w14:paraId="5F08B851"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0,826</w:t>
                  </w:r>
                </w:p>
              </w:tc>
              <w:tc>
                <w:tcPr>
                  <w:tcW w:w="960" w:type="dxa"/>
                  <w:tcBorders>
                    <w:top w:val="nil"/>
                    <w:left w:val="nil"/>
                    <w:bottom w:val="single" w:sz="4" w:space="0" w:color="auto"/>
                    <w:right w:val="single" w:sz="4" w:space="0" w:color="auto"/>
                  </w:tcBorders>
                  <w:shd w:val="clear" w:color="auto" w:fill="auto"/>
                  <w:noWrap/>
                  <w:vAlign w:val="bottom"/>
                  <w:hideMark/>
                </w:tcPr>
                <w:p w14:paraId="6C93ED17"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0,174</w:t>
                  </w:r>
                </w:p>
              </w:tc>
              <w:tc>
                <w:tcPr>
                  <w:tcW w:w="960" w:type="dxa"/>
                  <w:tcBorders>
                    <w:top w:val="nil"/>
                    <w:left w:val="nil"/>
                    <w:bottom w:val="single" w:sz="4" w:space="0" w:color="auto"/>
                    <w:right w:val="single" w:sz="4" w:space="0" w:color="auto"/>
                  </w:tcBorders>
                  <w:shd w:val="clear" w:color="auto" w:fill="auto"/>
                  <w:noWrap/>
                  <w:vAlign w:val="bottom"/>
                  <w:hideMark/>
                </w:tcPr>
                <w:p w14:paraId="01FB7A41"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0,769</w:t>
                  </w:r>
                </w:p>
              </w:tc>
              <w:tc>
                <w:tcPr>
                  <w:tcW w:w="960" w:type="dxa"/>
                  <w:tcBorders>
                    <w:top w:val="nil"/>
                    <w:left w:val="nil"/>
                    <w:bottom w:val="single" w:sz="4" w:space="0" w:color="auto"/>
                    <w:right w:val="single" w:sz="4" w:space="0" w:color="auto"/>
                  </w:tcBorders>
                  <w:shd w:val="clear" w:color="auto" w:fill="auto"/>
                  <w:noWrap/>
                  <w:vAlign w:val="bottom"/>
                  <w:hideMark/>
                </w:tcPr>
                <w:p w14:paraId="278DBC7F"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0,231</w:t>
                  </w:r>
                </w:p>
              </w:tc>
              <w:tc>
                <w:tcPr>
                  <w:tcW w:w="1072" w:type="dxa"/>
                  <w:tcBorders>
                    <w:top w:val="nil"/>
                    <w:left w:val="nil"/>
                    <w:bottom w:val="single" w:sz="4" w:space="0" w:color="auto"/>
                    <w:right w:val="single" w:sz="4" w:space="0" w:color="auto"/>
                  </w:tcBorders>
                  <w:shd w:val="clear" w:color="auto" w:fill="auto"/>
                  <w:noWrap/>
                  <w:vAlign w:val="bottom"/>
                  <w:hideMark/>
                </w:tcPr>
                <w:p w14:paraId="0385266A"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0,585</w:t>
                  </w:r>
                </w:p>
              </w:tc>
              <w:tc>
                <w:tcPr>
                  <w:tcW w:w="1072" w:type="dxa"/>
                  <w:tcBorders>
                    <w:top w:val="nil"/>
                    <w:left w:val="nil"/>
                    <w:bottom w:val="single" w:sz="4" w:space="0" w:color="auto"/>
                    <w:right w:val="single" w:sz="4" w:space="0" w:color="auto"/>
                  </w:tcBorders>
                  <w:shd w:val="clear" w:color="auto" w:fill="auto"/>
                  <w:noWrap/>
                  <w:vAlign w:val="bottom"/>
                  <w:hideMark/>
                </w:tcPr>
                <w:p w14:paraId="261F658F"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0,415</w:t>
                  </w:r>
                </w:p>
              </w:tc>
              <w:tc>
                <w:tcPr>
                  <w:tcW w:w="848" w:type="dxa"/>
                  <w:tcBorders>
                    <w:top w:val="nil"/>
                    <w:left w:val="nil"/>
                    <w:bottom w:val="single" w:sz="4" w:space="0" w:color="auto"/>
                    <w:right w:val="single" w:sz="4" w:space="0" w:color="auto"/>
                  </w:tcBorders>
                  <w:shd w:val="clear" w:color="auto" w:fill="auto"/>
                  <w:noWrap/>
                  <w:vAlign w:val="bottom"/>
                  <w:hideMark/>
                </w:tcPr>
                <w:p w14:paraId="1D87E981"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c>
                <w:tcPr>
                  <w:tcW w:w="848" w:type="dxa"/>
                  <w:tcBorders>
                    <w:top w:val="nil"/>
                    <w:left w:val="nil"/>
                    <w:bottom w:val="single" w:sz="4" w:space="0" w:color="auto"/>
                    <w:right w:val="single" w:sz="4" w:space="0" w:color="auto"/>
                  </w:tcBorders>
                  <w:shd w:val="clear" w:color="auto" w:fill="auto"/>
                  <w:noWrap/>
                  <w:vAlign w:val="bottom"/>
                  <w:hideMark/>
                </w:tcPr>
                <w:p w14:paraId="0215C971"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0,5</w:t>
                  </w:r>
                </w:p>
              </w:tc>
            </w:tr>
            <w:tr w:rsidR="00BE4AA1" w:rsidRPr="00BE4AA1" w14:paraId="31AC866F" w14:textId="77777777" w:rsidTr="00BE4AA1">
              <w:trPr>
                <w:trHeight w:val="288"/>
              </w:trPr>
              <w:tc>
                <w:tcPr>
                  <w:tcW w:w="1065" w:type="dxa"/>
                  <w:tcBorders>
                    <w:top w:val="nil"/>
                    <w:left w:val="single" w:sz="4" w:space="0" w:color="auto"/>
                    <w:bottom w:val="single" w:sz="4" w:space="0" w:color="auto"/>
                    <w:right w:val="single" w:sz="4" w:space="0" w:color="auto"/>
                  </w:tcBorders>
                  <w:shd w:val="clear" w:color="auto" w:fill="auto"/>
                  <w:noWrap/>
                  <w:vAlign w:val="bottom"/>
                  <w:hideMark/>
                </w:tcPr>
                <w:p w14:paraId="09E0FE30"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0,071</w:t>
                  </w:r>
                </w:p>
              </w:tc>
              <w:tc>
                <w:tcPr>
                  <w:tcW w:w="1065" w:type="dxa"/>
                  <w:tcBorders>
                    <w:top w:val="nil"/>
                    <w:left w:val="nil"/>
                    <w:bottom w:val="single" w:sz="4" w:space="0" w:color="auto"/>
                    <w:right w:val="single" w:sz="4" w:space="0" w:color="auto"/>
                  </w:tcBorders>
                  <w:shd w:val="clear" w:color="auto" w:fill="auto"/>
                  <w:noWrap/>
                  <w:vAlign w:val="bottom"/>
                  <w:hideMark/>
                </w:tcPr>
                <w:p w14:paraId="17842958"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0,929</w:t>
                  </w:r>
                </w:p>
              </w:tc>
              <w:tc>
                <w:tcPr>
                  <w:tcW w:w="1065" w:type="dxa"/>
                  <w:tcBorders>
                    <w:top w:val="nil"/>
                    <w:left w:val="nil"/>
                    <w:bottom w:val="single" w:sz="4" w:space="0" w:color="auto"/>
                    <w:right w:val="single" w:sz="4" w:space="0" w:color="auto"/>
                  </w:tcBorders>
                  <w:shd w:val="clear" w:color="auto" w:fill="auto"/>
                  <w:noWrap/>
                  <w:vAlign w:val="bottom"/>
                  <w:hideMark/>
                </w:tcPr>
                <w:p w14:paraId="4432C765"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0,066</w:t>
                  </w:r>
                </w:p>
              </w:tc>
              <w:tc>
                <w:tcPr>
                  <w:tcW w:w="1065" w:type="dxa"/>
                  <w:tcBorders>
                    <w:top w:val="nil"/>
                    <w:left w:val="nil"/>
                    <w:bottom w:val="single" w:sz="4" w:space="0" w:color="auto"/>
                    <w:right w:val="single" w:sz="4" w:space="0" w:color="auto"/>
                  </w:tcBorders>
                  <w:shd w:val="clear" w:color="auto" w:fill="auto"/>
                  <w:noWrap/>
                  <w:vAlign w:val="bottom"/>
                  <w:hideMark/>
                </w:tcPr>
                <w:p w14:paraId="6B1850E5"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shd w:val="clear" w:color="auto" w:fill="auto"/>
                  <w:noWrap/>
                  <w:vAlign w:val="bottom"/>
                  <w:hideMark/>
                </w:tcPr>
                <w:p w14:paraId="1EE44DEA"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0,051</w:t>
                  </w:r>
                </w:p>
              </w:tc>
              <w:tc>
                <w:tcPr>
                  <w:tcW w:w="960" w:type="dxa"/>
                  <w:tcBorders>
                    <w:top w:val="nil"/>
                    <w:left w:val="nil"/>
                    <w:bottom w:val="single" w:sz="4" w:space="0" w:color="auto"/>
                    <w:right w:val="single" w:sz="4" w:space="0" w:color="auto"/>
                  </w:tcBorders>
                  <w:shd w:val="clear" w:color="auto" w:fill="auto"/>
                  <w:noWrap/>
                  <w:vAlign w:val="bottom"/>
                  <w:hideMark/>
                </w:tcPr>
                <w:p w14:paraId="378DD310"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0,949</w:t>
                  </w:r>
                </w:p>
              </w:tc>
              <w:tc>
                <w:tcPr>
                  <w:tcW w:w="960" w:type="dxa"/>
                  <w:tcBorders>
                    <w:top w:val="nil"/>
                    <w:left w:val="nil"/>
                    <w:bottom w:val="single" w:sz="4" w:space="0" w:color="auto"/>
                    <w:right w:val="single" w:sz="4" w:space="0" w:color="auto"/>
                  </w:tcBorders>
                  <w:shd w:val="clear" w:color="auto" w:fill="auto"/>
                  <w:noWrap/>
                  <w:vAlign w:val="bottom"/>
                  <w:hideMark/>
                </w:tcPr>
                <w:p w14:paraId="56E6EA79"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0,048</w:t>
                  </w:r>
                </w:p>
              </w:tc>
              <w:tc>
                <w:tcPr>
                  <w:tcW w:w="960" w:type="dxa"/>
                  <w:tcBorders>
                    <w:top w:val="nil"/>
                    <w:left w:val="nil"/>
                    <w:bottom w:val="single" w:sz="4" w:space="0" w:color="auto"/>
                    <w:right w:val="single" w:sz="4" w:space="0" w:color="auto"/>
                  </w:tcBorders>
                  <w:shd w:val="clear" w:color="auto" w:fill="auto"/>
                  <w:noWrap/>
                  <w:vAlign w:val="bottom"/>
                  <w:hideMark/>
                </w:tcPr>
                <w:p w14:paraId="73BDFFBE"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0,952</w:t>
                  </w:r>
                </w:p>
              </w:tc>
              <w:tc>
                <w:tcPr>
                  <w:tcW w:w="1072" w:type="dxa"/>
                  <w:tcBorders>
                    <w:top w:val="nil"/>
                    <w:left w:val="nil"/>
                    <w:bottom w:val="single" w:sz="4" w:space="0" w:color="auto"/>
                    <w:right w:val="single" w:sz="4" w:space="0" w:color="auto"/>
                  </w:tcBorders>
                  <w:shd w:val="clear" w:color="auto" w:fill="auto"/>
                  <w:noWrap/>
                  <w:vAlign w:val="bottom"/>
                  <w:hideMark/>
                </w:tcPr>
                <w:p w14:paraId="5B09096B"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0,056</w:t>
                  </w:r>
                </w:p>
              </w:tc>
              <w:tc>
                <w:tcPr>
                  <w:tcW w:w="1072" w:type="dxa"/>
                  <w:tcBorders>
                    <w:top w:val="nil"/>
                    <w:left w:val="nil"/>
                    <w:bottom w:val="single" w:sz="4" w:space="0" w:color="auto"/>
                    <w:right w:val="single" w:sz="4" w:space="0" w:color="auto"/>
                  </w:tcBorders>
                  <w:shd w:val="clear" w:color="auto" w:fill="auto"/>
                  <w:noWrap/>
                  <w:vAlign w:val="bottom"/>
                  <w:hideMark/>
                </w:tcPr>
                <w:p w14:paraId="04BB2F35"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0,944</w:t>
                  </w:r>
                </w:p>
              </w:tc>
              <w:tc>
                <w:tcPr>
                  <w:tcW w:w="848" w:type="dxa"/>
                  <w:tcBorders>
                    <w:top w:val="nil"/>
                    <w:left w:val="nil"/>
                    <w:bottom w:val="single" w:sz="4" w:space="0" w:color="auto"/>
                    <w:right w:val="single" w:sz="4" w:space="0" w:color="auto"/>
                  </w:tcBorders>
                  <w:shd w:val="clear" w:color="auto" w:fill="auto"/>
                  <w:noWrap/>
                  <w:vAlign w:val="bottom"/>
                  <w:hideMark/>
                </w:tcPr>
                <w:p w14:paraId="1C0EB5DC"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0,05</w:t>
                  </w:r>
                </w:p>
              </w:tc>
              <w:tc>
                <w:tcPr>
                  <w:tcW w:w="848" w:type="dxa"/>
                  <w:tcBorders>
                    <w:top w:val="nil"/>
                    <w:left w:val="nil"/>
                    <w:bottom w:val="single" w:sz="4" w:space="0" w:color="auto"/>
                    <w:right w:val="single" w:sz="4" w:space="0" w:color="auto"/>
                  </w:tcBorders>
                  <w:shd w:val="clear" w:color="auto" w:fill="auto"/>
                  <w:noWrap/>
                  <w:vAlign w:val="bottom"/>
                  <w:hideMark/>
                </w:tcPr>
                <w:p w14:paraId="7B6375D6" w14:textId="77777777" w:rsidR="00BE4AA1" w:rsidRPr="00BE4AA1" w:rsidRDefault="00BE4AA1" w:rsidP="00BE4AA1">
                  <w:pPr>
                    <w:spacing w:line="240" w:lineRule="auto"/>
                    <w:jc w:val="right"/>
                    <w:rPr>
                      <w:rFonts w:ascii="Aptos Narrow" w:eastAsia="Times New Roman" w:hAnsi="Aptos Narrow" w:cs="Times New Roman"/>
                      <w:color w:val="000000"/>
                      <w:sz w:val="18"/>
                      <w:szCs w:val="18"/>
                    </w:rPr>
                  </w:pPr>
                  <w:r w:rsidRPr="00BE4AA1">
                    <w:rPr>
                      <w:rFonts w:ascii="Aptos Narrow" w:eastAsia="Times New Roman" w:hAnsi="Aptos Narrow" w:cs="Times New Roman"/>
                      <w:color w:val="000000"/>
                      <w:sz w:val="18"/>
                      <w:szCs w:val="18"/>
                    </w:rPr>
                    <w:t>0,95</w:t>
                  </w:r>
                </w:p>
              </w:tc>
            </w:tr>
          </w:tbl>
          <w:p w14:paraId="10DA2CAF" w14:textId="77777777" w:rsidR="00BE4AA1" w:rsidRDefault="00BE4AA1" w:rsidP="00BE4AA1">
            <w:pPr>
              <w:pStyle w:val="PargrafodaLista"/>
              <w:ind w:left="0"/>
              <w:jc w:val="both"/>
              <w:rPr>
                <w:rFonts w:ascii="Times New Roman" w:eastAsia="Times New Roman" w:hAnsi="Times New Roman" w:cs="Times New Roman"/>
                <w:sz w:val="24"/>
                <w:szCs w:val="24"/>
              </w:rPr>
            </w:pPr>
          </w:p>
        </w:tc>
      </w:tr>
    </w:tbl>
    <w:p w14:paraId="0E43B0D8" w14:textId="77777777" w:rsidR="00BE4AA1" w:rsidRDefault="00BE4AA1" w:rsidP="00C2181D">
      <w:pPr>
        <w:jc w:val="both"/>
        <w:rPr>
          <w:rFonts w:ascii="Times New Roman" w:eastAsia="Times New Roman" w:hAnsi="Times New Roman" w:cs="Times New Roman"/>
          <w:sz w:val="24"/>
          <w:szCs w:val="24"/>
        </w:rPr>
      </w:pPr>
    </w:p>
    <w:p w14:paraId="58D44A89" w14:textId="340D60E2" w:rsidR="00C2181D" w:rsidRDefault="00C2181D" w:rsidP="00C2181D">
      <w:pPr>
        <w:pStyle w:val="PargrafodaLista"/>
        <w:numPr>
          <w:ilvl w:val="0"/>
          <w:numId w:val="8"/>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raça:</w:t>
      </w:r>
    </w:p>
    <w:tbl>
      <w:tblPr>
        <w:tblStyle w:val="Tabelacomgrade"/>
        <w:tblW w:w="0" w:type="auto"/>
        <w:tblInd w:w="720" w:type="dxa"/>
        <w:tblLook w:val="04A0" w:firstRow="1" w:lastRow="0" w:firstColumn="1" w:lastColumn="0" w:noHBand="0" w:noVBand="1"/>
      </w:tblPr>
      <w:tblGrid>
        <w:gridCol w:w="8343"/>
      </w:tblGrid>
      <w:tr w:rsidR="00020362" w:rsidRPr="003C024C" w14:paraId="5100DCC9" w14:textId="77777777" w:rsidTr="00020362">
        <w:tc>
          <w:tcPr>
            <w:tcW w:w="9063" w:type="dxa"/>
          </w:tcPr>
          <w:tbl>
            <w:tblPr>
              <w:tblW w:w="8104" w:type="dxa"/>
              <w:tblCellMar>
                <w:left w:w="70" w:type="dxa"/>
                <w:right w:w="70" w:type="dxa"/>
              </w:tblCellMar>
              <w:tblLook w:val="04A0" w:firstRow="1" w:lastRow="0" w:firstColumn="1" w:lastColumn="0" w:noHBand="0" w:noVBand="1"/>
            </w:tblPr>
            <w:tblGrid>
              <w:gridCol w:w="1013"/>
              <w:gridCol w:w="1013"/>
              <w:gridCol w:w="1013"/>
              <w:gridCol w:w="1013"/>
              <w:gridCol w:w="1013"/>
              <w:gridCol w:w="1013"/>
              <w:gridCol w:w="1013"/>
              <w:gridCol w:w="1013"/>
            </w:tblGrid>
            <w:tr w:rsidR="00020362" w:rsidRPr="00020362" w14:paraId="76E9AD65" w14:textId="77777777" w:rsidTr="00020362">
              <w:trPr>
                <w:trHeight w:val="288"/>
              </w:trPr>
              <w:tc>
                <w:tcPr>
                  <w:tcW w:w="8104"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3F7148" w14:textId="77777777" w:rsidR="00020362" w:rsidRPr="00020362" w:rsidRDefault="00020362" w:rsidP="00020362">
                  <w:pPr>
                    <w:spacing w:line="240" w:lineRule="auto"/>
                    <w:jc w:val="center"/>
                    <w:rPr>
                      <w:rFonts w:ascii="Aptos Narrow" w:eastAsia="Times New Roman" w:hAnsi="Aptos Narrow" w:cs="Times New Roman"/>
                      <w:color w:val="000000"/>
                      <w:sz w:val="18"/>
                      <w:szCs w:val="18"/>
                    </w:rPr>
                  </w:pPr>
                  <w:proofErr w:type="spellStart"/>
                  <w:r w:rsidRPr="00020362">
                    <w:rPr>
                      <w:rFonts w:ascii="Aptos Narrow" w:eastAsia="Times New Roman" w:hAnsi="Aptos Narrow" w:cs="Times New Roman"/>
                      <w:color w:val="000000"/>
                      <w:sz w:val="18"/>
                      <w:szCs w:val="18"/>
                    </w:rPr>
                    <w:t>Pré</w:t>
                  </w:r>
                  <w:proofErr w:type="spellEnd"/>
                  <w:r w:rsidRPr="00020362">
                    <w:rPr>
                      <w:rFonts w:ascii="Aptos Narrow" w:eastAsia="Times New Roman" w:hAnsi="Aptos Narrow" w:cs="Times New Roman"/>
                      <w:color w:val="000000"/>
                      <w:sz w:val="18"/>
                      <w:szCs w:val="18"/>
                    </w:rPr>
                    <w:t>-pandemia</w:t>
                  </w:r>
                </w:p>
              </w:tc>
            </w:tr>
            <w:tr w:rsidR="00020362" w:rsidRPr="00020362" w14:paraId="7FB49403" w14:textId="77777777" w:rsidTr="00020362">
              <w:trPr>
                <w:trHeight w:val="288"/>
              </w:trPr>
              <w:tc>
                <w:tcPr>
                  <w:tcW w:w="2026"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7DADFE83" w14:textId="77777777" w:rsidR="00020362" w:rsidRPr="00020362" w:rsidRDefault="00020362" w:rsidP="00020362">
                  <w:pPr>
                    <w:spacing w:line="240" w:lineRule="auto"/>
                    <w:jc w:val="center"/>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Branca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1709ED7D" w14:textId="77777777" w:rsidR="00020362" w:rsidRPr="00020362" w:rsidRDefault="00020362" w:rsidP="00020362">
                  <w:pPr>
                    <w:spacing w:line="240" w:lineRule="auto"/>
                    <w:jc w:val="center"/>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Preta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72E89EA9" w14:textId="77777777" w:rsidR="00020362" w:rsidRPr="00020362" w:rsidRDefault="00020362" w:rsidP="00020362">
                  <w:pPr>
                    <w:spacing w:line="240" w:lineRule="auto"/>
                    <w:jc w:val="center"/>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Parda</w:t>
                  </w:r>
                </w:p>
              </w:tc>
              <w:tc>
                <w:tcPr>
                  <w:tcW w:w="2026" w:type="dxa"/>
                  <w:gridSpan w:val="2"/>
                  <w:tcBorders>
                    <w:top w:val="single" w:sz="4" w:space="0" w:color="auto"/>
                    <w:left w:val="nil"/>
                    <w:bottom w:val="single" w:sz="4" w:space="0" w:color="auto"/>
                    <w:right w:val="single" w:sz="4" w:space="0" w:color="auto"/>
                  </w:tcBorders>
                  <w:shd w:val="clear" w:color="auto" w:fill="auto"/>
                  <w:noWrap/>
                  <w:vAlign w:val="bottom"/>
                  <w:hideMark/>
                </w:tcPr>
                <w:p w14:paraId="611BB9D2" w14:textId="77777777" w:rsidR="00020362" w:rsidRPr="00020362" w:rsidRDefault="00020362" w:rsidP="00020362">
                  <w:pPr>
                    <w:spacing w:line="240" w:lineRule="auto"/>
                    <w:jc w:val="center"/>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Outros</w:t>
                  </w:r>
                </w:p>
              </w:tc>
            </w:tr>
            <w:tr w:rsidR="00020362" w:rsidRPr="00020362" w14:paraId="6CCB3769" w14:textId="77777777" w:rsidTr="00020362">
              <w:trPr>
                <w:trHeight w:val="288"/>
              </w:trPr>
              <w:tc>
                <w:tcPr>
                  <w:tcW w:w="1013" w:type="dxa"/>
                  <w:tcBorders>
                    <w:top w:val="nil"/>
                    <w:left w:val="single" w:sz="4" w:space="0" w:color="auto"/>
                    <w:bottom w:val="single" w:sz="4" w:space="0" w:color="auto"/>
                    <w:right w:val="single" w:sz="4" w:space="0" w:color="auto"/>
                  </w:tcBorders>
                  <w:shd w:val="clear" w:color="auto" w:fill="auto"/>
                  <w:noWrap/>
                  <w:vAlign w:val="bottom"/>
                  <w:hideMark/>
                </w:tcPr>
                <w:p w14:paraId="4D9F386A"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0,644</w:t>
                  </w:r>
                </w:p>
              </w:tc>
              <w:tc>
                <w:tcPr>
                  <w:tcW w:w="1013" w:type="dxa"/>
                  <w:tcBorders>
                    <w:top w:val="nil"/>
                    <w:left w:val="nil"/>
                    <w:bottom w:val="single" w:sz="4" w:space="0" w:color="auto"/>
                    <w:right w:val="single" w:sz="4" w:space="0" w:color="auto"/>
                  </w:tcBorders>
                  <w:shd w:val="clear" w:color="auto" w:fill="auto"/>
                  <w:noWrap/>
                  <w:vAlign w:val="bottom"/>
                  <w:hideMark/>
                </w:tcPr>
                <w:p w14:paraId="70442820"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0,356</w:t>
                  </w:r>
                </w:p>
              </w:tc>
              <w:tc>
                <w:tcPr>
                  <w:tcW w:w="1013" w:type="dxa"/>
                  <w:tcBorders>
                    <w:top w:val="nil"/>
                    <w:left w:val="nil"/>
                    <w:bottom w:val="single" w:sz="4" w:space="0" w:color="auto"/>
                    <w:right w:val="single" w:sz="4" w:space="0" w:color="auto"/>
                  </w:tcBorders>
                  <w:shd w:val="clear" w:color="auto" w:fill="auto"/>
                  <w:noWrap/>
                  <w:vAlign w:val="bottom"/>
                  <w:hideMark/>
                </w:tcPr>
                <w:p w14:paraId="01C449DE"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0,639</w:t>
                  </w:r>
                </w:p>
              </w:tc>
              <w:tc>
                <w:tcPr>
                  <w:tcW w:w="1013" w:type="dxa"/>
                  <w:tcBorders>
                    <w:top w:val="nil"/>
                    <w:left w:val="nil"/>
                    <w:bottom w:val="single" w:sz="4" w:space="0" w:color="auto"/>
                    <w:right w:val="single" w:sz="4" w:space="0" w:color="auto"/>
                  </w:tcBorders>
                  <w:shd w:val="clear" w:color="auto" w:fill="auto"/>
                  <w:noWrap/>
                  <w:vAlign w:val="bottom"/>
                  <w:hideMark/>
                </w:tcPr>
                <w:p w14:paraId="62526F09"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0,361</w:t>
                  </w:r>
                </w:p>
              </w:tc>
              <w:tc>
                <w:tcPr>
                  <w:tcW w:w="1013" w:type="dxa"/>
                  <w:tcBorders>
                    <w:top w:val="nil"/>
                    <w:left w:val="nil"/>
                    <w:bottom w:val="single" w:sz="4" w:space="0" w:color="auto"/>
                    <w:right w:val="single" w:sz="4" w:space="0" w:color="auto"/>
                  </w:tcBorders>
                  <w:shd w:val="clear" w:color="auto" w:fill="auto"/>
                  <w:noWrap/>
                  <w:vAlign w:val="bottom"/>
                  <w:hideMark/>
                </w:tcPr>
                <w:p w14:paraId="0F7A9E9E"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0,617</w:t>
                  </w:r>
                </w:p>
              </w:tc>
              <w:tc>
                <w:tcPr>
                  <w:tcW w:w="1013" w:type="dxa"/>
                  <w:tcBorders>
                    <w:top w:val="nil"/>
                    <w:left w:val="nil"/>
                    <w:bottom w:val="single" w:sz="4" w:space="0" w:color="auto"/>
                    <w:right w:val="single" w:sz="4" w:space="0" w:color="auto"/>
                  </w:tcBorders>
                  <w:shd w:val="clear" w:color="auto" w:fill="auto"/>
                  <w:noWrap/>
                  <w:vAlign w:val="bottom"/>
                  <w:hideMark/>
                </w:tcPr>
                <w:p w14:paraId="6E23BE8E"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0,383</w:t>
                  </w:r>
                </w:p>
              </w:tc>
              <w:tc>
                <w:tcPr>
                  <w:tcW w:w="1013" w:type="dxa"/>
                  <w:tcBorders>
                    <w:top w:val="nil"/>
                    <w:left w:val="nil"/>
                    <w:bottom w:val="single" w:sz="4" w:space="0" w:color="auto"/>
                    <w:right w:val="single" w:sz="4" w:space="0" w:color="auto"/>
                  </w:tcBorders>
                  <w:shd w:val="clear" w:color="auto" w:fill="auto"/>
                  <w:noWrap/>
                  <w:vAlign w:val="bottom"/>
                  <w:hideMark/>
                </w:tcPr>
                <w:p w14:paraId="6C523F66"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0,61</w:t>
                  </w:r>
                </w:p>
              </w:tc>
              <w:tc>
                <w:tcPr>
                  <w:tcW w:w="1013" w:type="dxa"/>
                  <w:tcBorders>
                    <w:top w:val="nil"/>
                    <w:left w:val="nil"/>
                    <w:bottom w:val="single" w:sz="4" w:space="0" w:color="auto"/>
                    <w:right w:val="single" w:sz="4" w:space="0" w:color="auto"/>
                  </w:tcBorders>
                  <w:shd w:val="clear" w:color="auto" w:fill="auto"/>
                  <w:noWrap/>
                  <w:vAlign w:val="bottom"/>
                  <w:hideMark/>
                </w:tcPr>
                <w:p w14:paraId="2A5728F6"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0,39</w:t>
                  </w:r>
                </w:p>
              </w:tc>
            </w:tr>
            <w:tr w:rsidR="00020362" w:rsidRPr="00020362" w14:paraId="725FC953" w14:textId="77777777" w:rsidTr="00020362">
              <w:trPr>
                <w:trHeight w:val="288"/>
              </w:trPr>
              <w:tc>
                <w:tcPr>
                  <w:tcW w:w="1013" w:type="dxa"/>
                  <w:tcBorders>
                    <w:top w:val="nil"/>
                    <w:left w:val="single" w:sz="4" w:space="0" w:color="auto"/>
                    <w:bottom w:val="single" w:sz="4" w:space="0" w:color="auto"/>
                    <w:right w:val="single" w:sz="4" w:space="0" w:color="auto"/>
                  </w:tcBorders>
                  <w:shd w:val="clear" w:color="auto" w:fill="auto"/>
                  <w:noWrap/>
                  <w:vAlign w:val="bottom"/>
                  <w:hideMark/>
                </w:tcPr>
                <w:p w14:paraId="4B19B360"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0,052</w:t>
                  </w:r>
                </w:p>
              </w:tc>
              <w:tc>
                <w:tcPr>
                  <w:tcW w:w="1013" w:type="dxa"/>
                  <w:tcBorders>
                    <w:top w:val="nil"/>
                    <w:left w:val="nil"/>
                    <w:bottom w:val="single" w:sz="4" w:space="0" w:color="auto"/>
                    <w:right w:val="single" w:sz="4" w:space="0" w:color="auto"/>
                  </w:tcBorders>
                  <w:shd w:val="clear" w:color="auto" w:fill="auto"/>
                  <w:noWrap/>
                  <w:vAlign w:val="bottom"/>
                  <w:hideMark/>
                </w:tcPr>
                <w:p w14:paraId="34034A02"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0,948</w:t>
                  </w:r>
                </w:p>
              </w:tc>
              <w:tc>
                <w:tcPr>
                  <w:tcW w:w="1013" w:type="dxa"/>
                  <w:tcBorders>
                    <w:top w:val="nil"/>
                    <w:left w:val="nil"/>
                    <w:bottom w:val="single" w:sz="4" w:space="0" w:color="auto"/>
                    <w:right w:val="single" w:sz="4" w:space="0" w:color="auto"/>
                  </w:tcBorders>
                  <w:shd w:val="clear" w:color="auto" w:fill="auto"/>
                  <w:noWrap/>
                  <w:vAlign w:val="bottom"/>
                  <w:hideMark/>
                </w:tcPr>
                <w:p w14:paraId="7D3B0A49"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0,089</w:t>
                  </w:r>
                </w:p>
              </w:tc>
              <w:tc>
                <w:tcPr>
                  <w:tcW w:w="1013" w:type="dxa"/>
                  <w:tcBorders>
                    <w:top w:val="nil"/>
                    <w:left w:val="nil"/>
                    <w:bottom w:val="single" w:sz="4" w:space="0" w:color="auto"/>
                    <w:right w:val="single" w:sz="4" w:space="0" w:color="auto"/>
                  </w:tcBorders>
                  <w:shd w:val="clear" w:color="auto" w:fill="auto"/>
                  <w:noWrap/>
                  <w:vAlign w:val="bottom"/>
                  <w:hideMark/>
                </w:tcPr>
                <w:p w14:paraId="5D06915F"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0,911</w:t>
                  </w:r>
                </w:p>
              </w:tc>
              <w:tc>
                <w:tcPr>
                  <w:tcW w:w="1013" w:type="dxa"/>
                  <w:tcBorders>
                    <w:top w:val="nil"/>
                    <w:left w:val="nil"/>
                    <w:bottom w:val="single" w:sz="4" w:space="0" w:color="auto"/>
                    <w:right w:val="single" w:sz="4" w:space="0" w:color="auto"/>
                  </w:tcBorders>
                  <w:shd w:val="clear" w:color="auto" w:fill="auto"/>
                  <w:noWrap/>
                  <w:vAlign w:val="bottom"/>
                  <w:hideMark/>
                </w:tcPr>
                <w:p w14:paraId="6003D748"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0,077</w:t>
                  </w:r>
                </w:p>
              </w:tc>
              <w:tc>
                <w:tcPr>
                  <w:tcW w:w="1013" w:type="dxa"/>
                  <w:tcBorders>
                    <w:top w:val="nil"/>
                    <w:left w:val="nil"/>
                    <w:bottom w:val="single" w:sz="4" w:space="0" w:color="auto"/>
                    <w:right w:val="single" w:sz="4" w:space="0" w:color="auto"/>
                  </w:tcBorders>
                  <w:shd w:val="clear" w:color="auto" w:fill="auto"/>
                  <w:noWrap/>
                  <w:vAlign w:val="bottom"/>
                  <w:hideMark/>
                </w:tcPr>
                <w:p w14:paraId="0E66C2F8"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0,923</w:t>
                  </w:r>
                </w:p>
              </w:tc>
              <w:tc>
                <w:tcPr>
                  <w:tcW w:w="1013" w:type="dxa"/>
                  <w:tcBorders>
                    <w:top w:val="nil"/>
                    <w:left w:val="nil"/>
                    <w:bottom w:val="single" w:sz="4" w:space="0" w:color="auto"/>
                    <w:right w:val="single" w:sz="4" w:space="0" w:color="auto"/>
                  </w:tcBorders>
                  <w:shd w:val="clear" w:color="auto" w:fill="auto"/>
                  <w:noWrap/>
                  <w:vAlign w:val="bottom"/>
                  <w:hideMark/>
                </w:tcPr>
                <w:p w14:paraId="17526775"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0,067</w:t>
                  </w:r>
                </w:p>
              </w:tc>
              <w:tc>
                <w:tcPr>
                  <w:tcW w:w="1013" w:type="dxa"/>
                  <w:tcBorders>
                    <w:top w:val="nil"/>
                    <w:left w:val="nil"/>
                    <w:bottom w:val="single" w:sz="4" w:space="0" w:color="auto"/>
                    <w:right w:val="single" w:sz="4" w:space="0" w:color="auto"/>
                  </w:tcBorders>
                  <w:shd w:val="clear" w:color="auto" w:fill="auto"/>
                  <w:noWrap/>
                  <w:vAlign w:val="bottom"/>
                  <w:hideMark/>
                </w:tcPr>
                <w:p w14:paraId="4F57B24B" w14:textId="77777777" w:rsidR="00020362" w:rsidRPr="00020362" w:rsidRDefault="00020362" w:rsidP="00020362">
                  <w:pPr>
                    <w:spacing w:line="240" w:lineRule="auto"/>
                    <w:jc w:val="right"/>
                    <w:rPr>
                      <w:rFonts w:ascii="Aptos Narrow" w:eastAsia="Times New Roman" w:hAnsi="Aptos Narrow" w:cs="Times New Roman"/>
                      <w:color w:val="000000"/>
                      <w:sz w:val="18"/>
                      <w:szCs w:val="18"/>
                    </w:rPr>
                  </w:pPr>
                  <w:r w:rsidRPr="00020362">
                    <w:rPr>
                      <w:rFonts w:ascii="Aptos Narrow" w:eastAsia="Times New Roman" w:hAnsi="Aptos Narrow" w:cs="Times New Roman"/>
                      <w:color w:val="000000"/>
                      <w:sz w:val="18"/>
                      <w:szCs w:val="18"/>
                    </w:rPr>
                    <w:t>0,933</w:t>
                  </w:r>
                </w:p>
              </w:tc>
            </w:tr>
          </w:tbl>
          <w:p w14:paraId="63806DCA" w14:textId="77777777" w:rsidR="00020362" w:rsidRPr="003C024C" w:rsidRDefault="00020362" w:rsidP="00C2181D">
            <w:pPr>
              <w:pStyle w:val="PargrafodaLista"/>
              <w:ind w:left="0"/>
              <w:jc w:val="both"/>
              <w:rPr>
                <w:rFonts w:ascii="Times New Roman" w:eastAsia="Times New Roman" w:hAnsi="Times New Roman" w:cs="Times New Roman"/>
                <w:sz w:val="18"/>
                <w:szCs w:val="18"/>
              </w:rPr>
            </w:pPr>
          </w:p>
        </w:tc>
      </w:tr>
    </w:tbl>
    <w:p w14:paraId="4674E416" w14:textId="77777777" w:rsidR="00C2181D" w:rsidRPr="003C024C" w:rsidRDefault="00C2181D" w:rsidP="00C2181D">
      <w:pPr>
        <w:pStyle w:val="PargrafodaLista"/>
        <w:jc w:val="both"/>
        <w:rPr>
          <w:rFonts w:ascii="Times New Roman" w:eastAsia="Times New Roman" w:hAnsi="Times New Roman" w:cs="Times New Roman"/>
          <w:sz w:val="18"/>
          <w:szCs w:val="18"/>
        </w:rPr>
      </w:pPr>
    </w:p>
    <w:tbl>
      <w:tblPr>
        <w:tblStyle w:val="Tabelacomgrade"/>
        <w:tblW w:w="0" w:type="auto"/>
        <w:tblInd w:w="720" w:type="dxa"/>
        <w:tblLook w:val="04A0" w:firstRow="1" w:lastRow="0" w:firstColumn="1" w:lastColumn="0" w:noHBand="0" w:noVBand="1"/>
      </w:tblPr>
      <w:tblGrid>
        <w:gridCol w:w="8343"/>
      </w:tblGrid>
      <w:tr w:rsidR="003C024C" w:rsidRPr="003C024C" w14:paraId="6E98BCBA" w14:textId="77777777" w:rsidTr="003C024C">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3C024C" w:rsidRPr="003C024C" w14:paraId="7A667963" w14:textId="77777777" w:rsidTr="003C024C">
              <w:trPr>
                <w:trHeight w:val="288"/>
              </w:trPr>
              <w:tc>
                <w:tcPr>
                  <w:tcW w:w="7680"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19A8C3A6" w14:textId="77777777" w:rsidR="003C024C" w:rsidRPr="003C024C" w:rsidRDefault="003C024C" w:rsidP="003C024C">
                  <w:pPr>
                    <w:spacing w:line="240" w:lineRule="auto"/>
                    <w:jc w:val="center"/>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Durante a Pandemia</w:t>
                  </w:r>
                </w:p>
              </w:tc>
            </w:tr>
            <w:tr w:rsidR="003C024C" w:rsidRPr="003C024C" w14:paraId="69B8F71E" w14:textId="77777777" w:rsidTr="003C024C">
              <w:trPr>
                <w:trHeight w:val="288"/>
              </w:trPr>
              <w:tc>
                <w:tcPr>
                  <w:tcW w:w="192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84BD31C" w14:textId="77777777" w:rsidR="003C024C" w:rsidRPr="003C024C" w:rsidRDefault="003C024C" w:rsidP="003C024C">
                  <w:pPr>
                    <w:spacing w:line="240" w:lineRule="auto"/>
                    <w:jc w:val="center"/>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1FEEB4A9" w14:textId="77777777" w:rsidR="003C024C" w:rsidRPr="003C024C" w:rsidRDefault="003C024C" w:rsidP="003C024C">
                  <w:pPr>
                    <w:spacing w:line="240" w:lineRule="auto"/>
                    <w:jc w:val="center"/>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39588EB" w14:textId="77777777" w:rsidR="003C024C" w:rsidRPr="003C024C" w:rsidRDefault="003C024C" w:rsidP="003C024C">
                  <w:pPr>
                    <w:spacing w:line="240" w:lineRule="auto"/>
                    <w:jc w:val="center"/>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3AB26AD3" w14:textId="77777777" w:rsidR="003C024C" w:rsidRPr="003C024C" w:rsidRDefault="003C024C" w:rsidP="003C024C">
                  <w:pPr>
                    <w:spacing w:line="240" w:lineRule="auto"/>
                    <w:jc w:val="center"/>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Outros</w:t>
                  </w:r>
                </w:p>
              </w:tc>
            </w:tr>
            <w:tr w:rsidR="003C024C" w:rsidRPr="003C024C" w14:paraId="047282CF" w14:textId="77777777" w:rsidTr="003C024C">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77ED2B43"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0,793</w:t>
                  </w:r>
                </w:p>
              </w:tc>
              <w:tc>
                <w:tcPr>
                  <w:tcW w:w="960" w:type="dxa"/>
                  <w:tcBorders>
                    <w:top w:val="nil"/>
                    <w:left w:val="nil"/>
                    <w:bottom w:val="single" w:sz="4" w:space="0" w:color="auto"/>
                    <w:right w:val="single" w:sz="4" w:space="0" w:color="auto"/>
                  </w:tcBorders>
                  <w:shd w:val="clear" w:color="auto" w:fill="auto"/>
                  <w:noWrap/>
                  <w:vAlign w:val="bottom"/>
                  <w:hideMark/>
                </w:tcPr>
                <w:p w14:paraId="60A1A2B9"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0,207</w:t>
                  </w:r>
                </w:p>
              </w:tc>
              <w:tc>
                <w:tcPr>
                  <w:tcW w:w="960" w:type="dxa"/>
                  <w:tcBorders>
                    <w:top w:val="nil"/>
                    <w:left w:val="nil"/>
                    <w:bottom w:val="single" w:sz="4" w:space="0" w:color="auto"/>
                    <w:right w:val="single" w:sz="4" w:space="0" w:color="auto"/>
                  </w:tcBorders>
                  <w:shd w:val="clear" w:color="auto" w:fill="auto"/>
                  <w:noWrap/>
                  <w:vAlign w:val="bottom"/>
                  <w:hideMark/>
                </w:tcPr>
                <w:p w14:paraId="33EC76F0"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0,797</w:t>
                  </w:r>
                </w:p>
              </w:tc>
              <w:tc>
                <w:tcPr>
                  <w:tcW w:w="960" w:type="dxa"/>
                  <w:tcBorders>
                    <w:top w:val="nil"/>
                    <w:left w:val="nil"/>
                    <w:bottom w:val="single" w:sz="4" w:space="0" w:color="auto"/>
                    <w:right w:val="single" w:sz="4" w:space="0" w:color="auto"/>
                  </w:tcBorders>
                  <w:shd w:val="clear" w:color="auto" w:fill="auto"/>
                  <w:noWrap/>
                  <w:vAlign w:val="bottom"/>
                  <w:hideMark/>
                </w:tcPr>
                <w:p w14:paraId="119BA5F7"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0,203</w:t>
                  </w:r>
                </w:p>
              </w:tc>
              <w:tc>
                <w:tcPr>
                  <w:tcW w:w="960" w:type="dxa"/>
                  <w:tcBorders>
                    <w:top w:val="nil"/>
                    <w:left w:val="nil"/>
                    <w:bottom w:val="single" w:sz="4" w:space="0" w:color="auto"/>
                    <w:right w:val="single" w:sz="4" w:space="0" w:color="auto"/>
                  </w:tcBorders>
                  <w:shd w:val="clear" w:color="auto" w:fill="auto"/>
                  <w:noWrap/>
                  <w:vAlign w:val="bottom"/>
                  <w:hideMark/>
                </w:tcPr>
                <w:p w14:paraId="1B3AA0DE"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0,801</w:t>
                  </w:r>
                </w:p>
              </w:tc>
              <w:tc>
                <w:tcPr>
                  <w:tcW w:w="960" w:type="dxa"/>
                  <w:tcBorders>
                    <w:top w:val="nil"/>
                    <w:left w:val="nil"/>
                    <w:bottom w:val="single" w:sz="4" w:space="0" w:color="auto"/>
                    <w:right w:val="single" w:sz="4" w:space="0" w:color="auto"/>
                  </w:tcBorders>
                  <w:shd w:val="clear" w:color="auto" w:fill="auto"/>
                  <w:noWrap/>
                  <w:vAlign w:val="bottom"/>
                  <w:hideMark/>
                </w:tcPr>
                <w:p w14:paraId="333A179A"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0,199</w:t>
                  </w:r>
                </w:p>
              </w:tc>
              <w:tc>
                <w:tcPr>
                  <w:tcW w:w="960" w:type="dxa"/>
                  <w:tcBorders>
                    <w:top w:val="nil"/>
                    <w:left w:val="nil"/>
                    <w:bottom w:val="single" w:sz="4" w:space="0" w:color="auto"/>
                    <w:right w:val="single" w:sz="4" w:space="0" w:color="auto"/>
                  </w:tcBorders>
                  <w:shd w:val="clear" w:color="auto" w:fill="auto"/>
                  <w:noWrap/>
                  <w:vAlign w:val="bottom"/>
                  <w:hideMark/>
                </w:tcPr>
                <w:p w14:paraId="56A83633"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0,778</w:t>
                  </w:r>
                </w:p>
              </w:tc>
              <w:tc>
                <w:tcPr>
                  <w:tcW w:w="960" w:type="dxa"/>
                  <w:tcBorders>
                    <w:top w:val="nil"/>
                    <w:left w:val="nil"/>
                    <w:bottom w:val="single" w:sz="4" w:space="0" w:color="auto"/>
                    <w:right w:val="single" w:sz="4" w:space="0" w:color="auto"/>
                  </w:tcBorders>
                  <w:shd w:val="clear" w:color="auto" w:fill="auto"/>
                  <w:noWrap/>
                  <w:vAlign w:val="bottom"/>
                  <w:hideMark/>
                </w:tcPr>
                <w:p w14:paraId="0E3438C4"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0,222</w:t>
                  </w:r>
                </w:p>
              </w:tc>
            </w:tr>
            <w:tr w:rsidR="003C024C" w:rsidRPr="003C024C" w14:paraId="4A917288" w14:textId="77777777" w:rsidTr="003C024C">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3810FD3E"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0,038</w:t>
                  </w:r>
                </w:p>
              </w:tc>
              <w:tc>
                <w:tcPr>
                  <w:tcW w:w="960" w:type="dxa"/>
                  <w:tcBorders>
                    <w:top w:val="nil"/>
                    <w:left w:val="nil"/>
                    <w:bottom w:val="single" w:sz="4" w:space="0" w:color="auto"/>
                    <w:right w:val="single" w:sz="4" w:space="0" w:color="auto"/>
                  </w:tcBorders>
                  <w:shd w:val="clear" w:color="auto" w:fill="auto"/>
                  <w:noWrap/>
                  <w:vAlign w:val="bottom"/>
                  <w:hideMark/>
                </w:tcPr>
                <w:p w14:paraId="7ECFF648"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0,962</w:t>
                  </w:r>
                </w:p>
              </w:tc>
              <w:tc>
                <w:tcPr>
                  <w:tcW w:w="960" w:type="dxa"/>
                  <w:tcBorders>
                    <w:top w:val="nil"/>
                    <w:left w:val="nil"/>
                    <w:bottom w:val="single" w:sz="4" w:space="0" w:color="auto"/>
                    <w:right w:val="single" w:sz="4" w:space="0" w:color="auto"/>
                  </w:tcBorders>
                  <w:shd w:val="clear" w:color="auto" w:fill="auto"/>
                  <w:noWrap/>
                  <w:vAlign w:val="bottom"/>
                  <w:hideMark/>
                </w:tcPr>
                <w:p w14:paraId="0B28224B"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0,066</w:t>
                  </w:r>
                </w:p>
              </w:tc>
              <w:tc>
                <w:tcPr>
                  <w:tcW w:w="960" w:type="dxa"/>
                  <w:tcBorders>
                    <w:top w:val="nil"/>
                    <w:left w:val="nil"/>
                    <w:bottom w:val="single" w:sz="4" w:space="0" w:color="auto"/>
                    <w:right w:val="single" w:sz="4" w:space="0" w:color="auto"/>
                  </w:tcBorders>
                  <w:shd w:val="clear" w:color="auto" w:fill="auto"/>
                  <w:noWrap/>
                  <w:vAlign w:val="bottom"/>
                  <w:hideMark/>
                </w:tcPr>
                <w:p w14:paraId="1DB84DB9"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0,934</w:t>
                  </w:r>
                </w:p>
              </w:tc>
              <w:tc>
                <w:tcPr>
                  <w:tcW w:w="960" w:type="dxa"/>
                  <w:tcBorders>
                    <w:top w:val="nil"/>
                    <w:left w:val="nil"/>
                    <w:bottom w:val="single" w:sz="4" w:space="0" w:color="auto"/>
                    <w:right w:val="single" w:sz="4" w:space="0" w:color="auto"/>
                  </w:tcBorders>
                  <w:shd w:val="clear" w:color="auto" w:fill="auto"/>
                  <w:noWrap/>
                  <w:vAlign w:val="bottom"/>
                  <w:hideMark/>
                </w:tcPr>
                <w:p w14:paraId="428A67B5"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shd w:val="clear" w:color="auto" w:fill="auto"/>
                  <w:noWrap/>
                  <w:vAlign w:val="bottom"/>
                  <w:hideMark/>
                </w:tcPr>
                <w:p w14:paraId="52B958C1"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c>
                <w:tcPr>
                  <w:tcW w:w="960" w:type="dxa"/>
                  <w:tcBorders>
                    <w:top w:val="nil"/>
                    <w:left w:val="nil"/>
                    <w:bottom w:val="single" w:sz="4" w:space="0" w:color="auto"/>
                    <w:right w:val="single" w:sz="4" w:space="0" w:color="auto"/>
                  </w:tcBorders>
                  <w:shd w:val="clear" w:color="auto" w:fill="auto"/>
                  <w:noWrap/>
                  <w:vAlign w:val="bottom"/>
                  <w:hideMark/>
                </w:tcPr>
                <w:p w14:paraId="2B8EC153"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0,055</w:t>
                  </w:r>
                </w:p>
              </w:tc>
              <w:tc>
                <w:tcPr>
                  <w:tcW w:w="960" w:type="dxa"/>
                  <w:tcBorders>
                    <w:top w:val="nil"/>
                    <w:left w:val="nil"/>
                    <w:bottom w:val="single" w:sz="4" w:space="0" w:color="auto"/>
                    <w:right w:val="single" w:sz="4" w:space="0" w:color="auto"/>
                  </w:tcBorders>
                  <w:shd w:val="clear" w:color="auto" w:fill="auto"/>
                  <w:noWrap/>
                  <w:vAlign w:val="bottom"/>
                  <w:hideMark/>
                </w:tcPr>
                <w:p w14:paraId="1E9B657F" w14:textId="77777777" w:rsidR="003C024C" w:rsidRPr="003C024C" w:rsidRDefault="003C024C" w:rsidP="003C024C">
                  <w:pPr>
                    <w:spacing w:line="240" w:lineRule="auto"/>
                    <w:jc w:val="right"/>
                    <w:rPr>
                      <w:rFonts w:ascii="Aptos Narrow" w:eastAsia="Times New Roman" w:hAnsi="Aptos Narrow" w:cs="Times New Roman"/>
                      <w:color w:val="000000"/>
                      <w:sz w:val="18"/>
                      <w:szCs w:val="18"/>
                    </w:rPr>
                  </w:pPr>
                  <w:r w:rsidRPr="003C024C">
                    <w:rPr>
                      <w:rFonts w:ascii="Aptos Narrow" w:eastAsia="Times New Roman" w:hAnsi="Aptos Narrow" w:cs="Times New Roman"/>
                      <w:color w:val="000000"/>
                      <w:sz w:val="18"/>
                      <w:szCs w:val="18"/>
                    </w:rPr>
                    <w:t>0,945</w:t>
                  </w:r>
                </w:p>
              </w:tc>
            </w:tr>
          </w:tbl>
          <w:p w14:paraId="05BAE967" w14:textId="77777777" w:rsidR="003C024C" w:rsidRPr="003C024C" w:rsidRDefault="003C024C" w:rsidP="00C2181D">
            <w:pPr>
              <w:pStyle w:val="PargrafodaLista"/>
              <w:ind w:left="0"/>
              <w:jc w:val="both"/>
              <w:rPr>
                <w:rFonts w:ascii="Times New Roman" w:eastAsia="Times New Roman" w:hAnsi="Times New Roman" w:cs="Times New Roman"/>
                <w:sz w:val="18"/>
                <w:szCs w:val="18"/>
              </w:rPr>
            </w:pPr>
          </w:p>
        </w:tc>
      </w:tr>
    </w:tbl>
    <w:p w14:paraId="7F1C6CAE" w14:textId="77777777" w:rsidR="00020362" w:rsidRDefault="00020362" w:rsidP="00C2181D">
      <w:pPr>
        <w:pStyle w:val="PargrafodaLista"/>
        <w:jc w:val="both"/>
        <w:rPr>
          <w:rFonts w:ascii="Times New Roman" w:eastAsia="Times New Roman" w:hAnsi="Times New Roman" w:cs="Times New Roman"/>
          <w:sz w:val="24"/>
          <w:szCs w:val="24"/>
        </w:rPr>
      </w:pPr>
    </w:p>
    <w:tbl>
      <w:tblPr>
        <w:tblStyle w:val="Tabelacomgrade"/>
        <w:tblW w:w="0" w:type="auto"/>
        <w:tblInd w:w="720" w:type="dxa"/>
        <w:tblLook w:val="04A0" w:firstRow="1" w:lastRow="0" w:firstColumn="1" w:lastColumn="0" w:noHBand="0" w:noVBand="1"/>
      </w:tblPr>
      <w:tblGrid>
        <w:gridCol w:w="8343"/>
      </w:tblGrid>
      <w:tr w:rsidR="00A23CBB" w:rsidRPr="00A23CBB" w14:paraId="7E803D2C" w14:textId="77777777" w:rsidTr="00A23CBB">
        <w:tc>
          <w:tcPr>
            <w:tcW w:w="9063" w:type="dxa"/>
          </w:tcPr>
          <w:tbl>
            <w:tblPr>
              <w:tblW w:w="7680" w:type="dxa"/>
              <w:tblCellMar>
                <w:left w:w="70" w:type="dxa"/>
                <w:right w:w="70" w:type="dxa"/>
              </w:tblCellMar>
              <w:tblLook w:val="04A0" w:firstRow="1" w:lastRow="0" w:firstColumn="1" w:lastColumn="0" w:noHBand="0" w:noVBand="1"/>
            </w:tblPr>
            <w:tblGrid>
              <w:gridCol w:w="960"/>
              <w:gridCol w:w="960"/>
              <w:gridCol w:w="960"/>
              <w:gridCol w:w="960"/>
              <w:gridCol w:w="960"/>
              <w:gridCol w:w="960"/>
              <w:gridCol w:w="960"/>
              <w:gridCol w:w="960"/>
            </w:tblGrid>
            <w:tr w:rsidR="00A23CBB" w:rsidRPr="00A23CBB" w14:paraId="29BCC04F" w14:textId="77777777" w:rsidTr="00A23CBB">
              <w:trPr>
                <w:trHeight w:val="288"/>
              </w:trPr>
              <w:tc>
                <w:tcPr>
                  <w:tcW w:w="7680" w:type="dxa"/>
                  <w:gridSpan w:val="8"/>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7D0A0FC" w14:textId="77777777" w:rsidR="00A23CBB" w:rsidRPr="00A23CBB" w:rsidRDefault="00A23CBB" w:rsidP="00A23CBB">
                  <w:pPr>
                    <w:spacing w:line="240" w:lineRule="auto"/>
                    <w:jc w:val="center"/>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Pós-pandemia</w:t>
                  </w:r>
                </w:p>
              </w:tc>
            </w:tr>
            <w:tr w:rsidR="00A23CBB" w:rsidRPr="00A23CBB" w14:paraId="000D0EE2" w14:textId="77777777" w:rsidTr="00A23CBB">
              <w:trPr>
                <w:trHeight w:val="288"/>
              </w:trPr>
              <w:tc>
                <w:tcPr>
                  <w:tcW w:w="192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492A6B98" w14:textId="77777777" w:rsidR="00A23CBB" w:rsidRPr="00A23CBB" w:rsidRDefault="00A23CBB" w:rsidP="00A23CBB">
                  <w:pPr>
                    <w:spacing w:line="240" w:lineRule="auto"/>
                    <w:jc w:val="center"/>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Branca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7B6E7856" w14:textId="77777777" w:rsidR="00A23CBB" w:rsidRPr="00A23CBB" w:rsidRDefault="00A23CBB" w:rsidP="00A23CBB">
                  <w:pPr>
                    <w:spacing w:line="240" w:lineRule="auto"/>
                    <w:jc w:val="center"/>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Preta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580B7E71" w14:textId="77777777" w:rsidR="00A23CBB" w:rsidRPr="00A23CBB" w:rsidRDefault="00A23CBB" w:rsidP="00A23CBB">
                  <w:pPr>
                    <w:spacing w:line="240" w:lineRule="auto"/>
                    <w:jc w:val="center"/>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Parda</w:t>
                  </w:r>
                </w:p>
              </w:tc>
              <w:tc>
                <w:tcPr>
                  <w:tcW w:w="19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BFE90FD" w14:textId="77777777" w:rsidR="00A23CBB" w:rsidRPr="00A23CBB" w:rsidRDefault="00A23CBB" w:rsidP="00A23CBB">
                  <w:pPr>
                    <w:spacing w:line="240" w:lineRule="auto"/>
                    <w:jc w:val="center"/>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Outros</w:t>
                  </w:r>
                </w:p>
              </w:tc>
            </w:tr>
            <w:tr w:rsidR="00A23CBB" w:rsidRPr="00A23CBB" w14:paraId="31CB5392" w14:textId="77777777" w:rsidTr="00A23CBB">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1000A6D5"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0,544</w:t>
                  </w:r>
                </w:p>
              </w:tc>
              <w:tc>
                <w:tcPr>
                  <w:tcW w:w="960" w:type="dxa"/>
                  <w:tcBorders>
                    <w:top w:val="nil"/>
                    <w:left w:val="nil"/>
                    <w:bottom w:val="single" w:sz="4" w:space="0" w:color="auto"/>
                    <w:right w:val="single" w:sz="4" w:space="0" w:color="auto"/>
                  </w:tcBorders>
                  <w:shd w:val="clear" w:color="auto" w:fill="auto"/>
                  <w:noWrap/>
                  <w:vAlign w:val="bottom"/>
                  <w:hideMark/>
                </w:tcPr>
                <w:p w14:paraId="040CEBBC"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0,456</w:t>
                  </w:r>
                </w:p>
              </w:tc>
              <w:tc>
                <w:tcPr>
                  <w:tcW w:w="960" w:type="dxa"/>
                  <w:tcBorders>
                    <w:top w:val="nil"/>
                    <w:left w:val="nil"/>
                    <w:bottom w:val="single" w:sz="4" w:space="0" w:color="auto"/>
                    <w:right w:val="single" w:sz="4" w:space="0" w:color="auto"/>
                  </w:tcBorders>
                  <w:shd w:val="clear" w:color="auto" w:fill="auto"/>
                  <w:noWrap/>
                  <w:vAlign w:val="bottom"/>
                  <w:hideMark/>
                </w:tcPr>
                <w:p w14:paraId="7EBC4ED3"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0,563</w:t>
                  </w:r>
                </w:p>
              </w:tc>
              <w:tc>
                <w:tcPr>
                  <w:tcW w:w="960" w:type="dxa"/>
                  <w:tcBorders>
                    <w:top w:val="nil"/>
                    <w:left w:val="nil"/>
                    <w:bottom w:val="single" w:sz="4" w:space="0" w:color="auto"/>
                    <w:right w:val="single" w:sz="4" w:space="0" w:color="auto"/>
                  </w:tcBorders>
                  <w:shd w:val="clear" w:color="auto" w:fill="auto"/>
                  <w:noWrap/>
                  <w:vAlign w:val="bottom"/>
                  <w:hideMark/>
                </w:tcPr>
                <w:p w14:paraId="1928DFE5"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0,437</w:t>
                  </w:r>
                </w:p>
              </w:tc>
              <w:tc>
                <w:tcPr>
                  <w:tcW w:w="960" w:type="dxa"/>
                  <w:tcBorders>
                    <w:top w:val="nil"/>
                    <w:left w:val="nil"/>
                    <w:bottom w:val="single" w:sz="4" w:space="0" w:color="auto"/>
                    <w:right w:val="single" w:sz="4" w:space="0" w:color="auto"/>
                  </w:tcBorders>
                  <w:shd w:val="clear" w:color="auto" w:fill="auto"/>
                  <w:noWrap/>
                  <w:vAlign w:val="bottom"/>
                  <w:hideMark/>
                </w:tcPr>
                <w:p w14:paraId="5022238A"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shd w:val="clear" w:color="auto" w:fill="auto"/>
                  <w:noWrap/>
                  <w:vAlign w:val="bottom"/>
                  <w:hideMark/>
                </w:tcPr>
                <w:p w14:paraId="48BA4CAF"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c>
                <w:tcPr>
                  <w:tcW w:w="960" w:type="dxa"/>
                  <w:tcBorders>
                    <w:top w:val="nil"/>
                    <w:left w:val="nil"/>
                    <w:bottom w:val="single" w:sz="4" w:space="0" w:color="auto"/>
                    <w:right w:val="single" w:sz="4" w:space="0" w:color="auto"/>
                  </w:tcBorders>
                  <w:shd w:val="clear" w:color="auto" w:fill="auto"/>
                  <w:noWrap/>
                  <w:vAlign w:val="bottom"/>
                  <w:hideMark/>
                </w:tcPr>
                <w:p w14:paraId="2E1CB077"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0,536</w:t>
                  </w:r>
                </w:p>
              </w:tc>
              <w:tc>
                <w:tcPr>
                  <w:tcW w:w="960" w:type="dxa"/>
                  <w:tcBorders>
                    <w:top w:val="nil"/>
                    <w:left w:val="nil"/>
                    <w:bottom w:val="single" w:sz="4" w:space="0" w:color="auto"/>
                    <w:right w:val="single" w:sz="4" w:space="0" w:color="auto"/>
                  </w:tcBorders>
                  <w:shd w:val="clear" w:color="auto" w:fill="auto"/>
                  <w:noWrap/>
                  <w:vAlign w:val="bottom"/>
                  <w:hideMark/>
                </w:tcPr>
                <w:p w14:paraId="1DAA855F"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0,464</w:t>
                  </w:r>
                </w:p>
              </w:tc>
            </w:tr>
            <w:tr w:rsidR="00A23CBB" w:rsidRPr="00A23CBB" w14:paraId="47805E1D" w14:textId="77777777" w:rsidTr="00A23CBB">
              <w:trPr>
                <w:trHeight w:val="288"/>
              </w:trPr>
              <w:tc>
                <w:tcPr>
                  <w:tcW w:w="960" w:type="dxa"/>
                  <w:tcBorders>
                    <w:top w:val="nil"/>
                    <w:left w:val="single" w:sz="4" w:space="0" w:color="auto"/>
                    <w:bottom w:val="single" w:sz="4" w:space="0" w:color="auto"/>
                    <w:right w:val="single" w:sz="4" w:space="0" w:color="auto"/>
                  </w:tcBorders>
                  <w:shd w:val="clear" w:color="auto" w:fill="auto"/>
                  <w:noWrap/>
                  <w:vAlign w:val="bottom"/>
                  <w:hideMark/>
                </w:tcPr>
                <w:p w14:paraId="6051DB82"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0,04</w:t>
                  </w:r>
                </w:p>
              </w:tc>
              <w:tc>
                <w:tcPr>
                  <w:tcW w:w="960" w:type="dxa"/>
                  <w:tcBorders>
                    <w:top w:val="nil"/>
                    <w:left w:val="nil"/>
                    <w:bottom w:val="single" w:sz="4" w:space="0" w:color="auto"/>
                    <w:right w:val="single" w:sz="4" w:space="0" w:color="auto"/>
                  </w:tcBorders>
                  <w:shd w:val="clear" w:color="auto" w:fill="auto"/>
                  <w:noWrap/>
                  <w:vAlign w:val="bottom"/>
                  <w:hideMark/>
                </w:tcPr>
                <w:p w14:paraId="3F5EF167"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0,96</w:t>
                  </w:r>
                </w:p>
              </w:tc>
              <w:tc>
                <w:tcPr>
                  <w:tcW w:w="960" w:type="dxa"/>
                  <w:tcBorders>
                    <w:top w:val="nil"/>
                    <w:left w:val="nil"/>
                    <w:bottom w:val="single" w:sz="4" w:space="0" w:color="auto"/>
                    <w:right w:val="single" w:sz="4" w:space="0" w:color="auto"/>
                  </w:tcBorders>
                  <w:shd w:val="clear" w:color="auto" w:fill="auto"/>
                  <w:noWrap/>
                  <w:vAlign w:val="bottom"/>
                  <w:hideMark/>
                </w:tcPr>
                <w:p w14:paraId="385FDAD4"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0,067</w:t>
                  </w:r>
                </w:p>
              </w:tc>
              <w:tc>
                <w:tcPr>
                  <w:tcW w:w="960" w:type="dxa"/>
                  <w:tcBorders>
                    <w:top w:val="nil"/>
                    <w:left w:val="nil"/>
                    <w:bottom w:val="single" w:sz="4" w:space="0" w:color="auto"/>
                    <w:right w:val="single" w:sz="4" w:space="0" w:color="auto"/>
                  </w:tcBorders>
                  <w:shd w:val="clear" w:color="auto" w:fill="auto"/>
                  <w:noWrap/>
                  <w:vAlign w:val="bottom"/>
                  <w:hideMark/>
                </w:tcPr>
                <w:p w14:paraId="505ACBC2"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0,933</w:t>
                  </w:r>
                </w:p>
              </w:tc>
              <w:tc>
                <w:tcPr>
                  <w:tcW w:w="960" w:type="dxa"/>
                  <w:tcBorders>
                    <w:top w:val="nil"/>
                    <w:left w:val="nil"/>
                    <w:bottom w:val="single" w:sz="4" w:space="0" w:color="auto"/>
                    <w:right w:val="single" w:sz="4" w:space="0" w:color="auto"/>
                  </w:tcBorders>
                  <w:shd w:val="clear" w:color="auto" w:fill="auto"/>
                  <w:noWrap/>
                  <w:vAlign w:val="bottom"/>
                  <w:hideMark/>
                </w:tcPr>
                <w:p w14:paraId="4647BC06"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0,059</w:t>
                  </w:r>
                </w:p>
              </w:tc>
              <w:tc>
                <w:tcPr>
                  <w:tcW w:w="960" w:type="dxa"/>
                  <w:tcBorders>
                    <w:top w:val="nil"/>
                    <w:left w:val="nil"/>
                    <w:bottom w:val="single" w:sz="4" w:space="0" w:color="auto"/>
                    <w:right w:val="single" w:sz="4" w:space="0" w:color="auto"/>
                  </w:tcBorders>
                  <w:shd w:val="clear" w:color="auto" w:fill="auto"/>
                  <w:noWrap/>
                  <w:vAlign w:val="bottom"/>
                  <w:hideMark/>
                </w:tcPr>
                <w:p w14:paraId="49051742"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0,941</w:t>
                  </w:r>
                </w:p>
              </w:tc>
              <w:tc>
                <w:tcPr>
                  <w:tcW w:w="960" w:type="dxa"/>
                  <w:tcBorders>
                    <w:top w:val="nil"/>
                    <w:left w:val="nil"/>
                    <w:bottom w:val="single" w:sz="4" w:space="0" w:color="auto"/>
                    <w:right w:val="single" w:sz="4" w:space="0" w:color="auto"/>
                  </w:tcBorders>
                  <w:shd w:val="clear" w:color="auto" w:fill="auto"/>
                  <w:noWrap/>
                  <w:vAlign w:val="bottom"/>
                  <w:hideMark/>
                </w:tcPr>
                <w:p w14:paraId="635A1A16"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0,058</w:t>
                  </w:r>
                </w:p>
              </w:tc>
              <w:tc>
                <w:tcPr>
                  <w:tcW w:w="960" w:type="dxa"/>
                  <w:tcBorders>
                    <w:top w:val="nil"/>
                    <w:left w:val="nil"/>
                    <w:bottom w:val="single" w:sz="4" w:space="0" w:color="auto"/>
                    <w:right w:val="single" w:sz="4" w:space="0" w:color="auto"/>
                  </w:tcBorders>
                  <w:shd w:val="clear" w:color="auto" w:fill="auto"/>
                  <w:noWrap/>
                  <w:vAlign w:val="bottom"/>
                  <w:hideMark/>
                </w:tcPr>
                <w:p w14:paraId="12A7B967" w14:textId="77777777" w:rsidR="00A23CBB" w:rsidRPr="00A23CBB" w:rsidRDefault="00A23CBB" w:rsidP="00A23CBB">
                  <w:pPr>
                    <w:spacing w:line="240" w:lineRule="auto"/>
                    <w:jc w:val="right"/>
                    <w:rPr>
                      <w:rFonts w:ascii="Aptos Narrow" w:eastAsia="Times New Roman" w:hAnsi="Aptos Narrow" w:cs="Times New Roman"/>
                      <w:color w:val="000000"/>
                      <w:sz w:val="18"/>
                      <w:szCs w:val="18"/>
                    </w:rPr>
                  </w:pPr>
                  <w:r w:rsidRPr="00A23CBB">
                    <w:rPr>
                      <w:rFonts w:ascii="Aptos Narrow" w:eastAsia="Times New Roman" w:hAnsi="Aptos Narrow" w:cs="Times New Roman"/>
                      <w:color w:val="000000"/>
                      <w:sz w:val="18"/>
                      <w:szCs w:val="18"/>
                    </w:rPr>
                    <w:t>0,942</w:t>
                  </w:r>
                </w:p>
              </w:tc>
            </w:tr>
          </w:tbl>
          <w:p w14:paraId="7F1C5F48" w14:textId="77777777" w:rsidR="00A23CBB" w:rsidRPr="00A23CBB" w:rsidRDefault="00A23CBB" w:rsidP="00C2181D">
            <w:pPr>
              <w:pStyle w:val="PargrafodaLista"/>
              <w:ind w:left="0"/>
              <w:jc w:val="both"/>
              <w:rPr>
                <w:rFonts w:ascii="Times New Roman" w:eastAsia="Times New Roman" w:hAnsi="Times New Roman" w:cs="Times New Roman"/>
                <w:sz w:val="18"/>
                <w:szCs w:val="18"/>
              </w:rPr>
            </w:pPr>
          </w:p>
        </w:tc>
      </w:tr>
    </w:tbl>
    <w:p w14:paraId="40B3AFBA" w14:textId="77777777" w:rsidR="003C024C" w:rsidRPr="00A23CBB" w:rsidRDefault="003C024C" w:rsidP="00C2181D">
      <w:pPr>
        <w:pStyle w:val="PargrafodaLista"/>
        <w:jc w:val="both"/>
        <w:rPr>
          <w:rFonts w:ascii="Times New Roman" w:eastAsia="Times New Roman" w:hAnsi="Times New Roman" w:cs="Times New Roman"/>
          <w:sz w:val="18"/>
          <w:szCs w:val="18"/>
        </w:rPr>
      </w:pPr>
    </w:p>
    <w:p w14:paraId="2D0D3F18" w14:textId="77777777" w:rsidR="003B7FBE" w:rsidRDefault="00AE3682">
      <w:pPr>
        <w:pStyle w:val="Ttulo2"/>
        <w:numPr>
          <w:ilvl w:val="0"/>
          <w:numId w:val="1"/>
        </w:numPr>
        <w:jc w:val="both"/>
      </w:pPr>
      <w:bookmarkStart w:id="19" w:name="_3m13tb8aieyo" w:colFirst="0" w:colLast="0"/>
      <w:bookmarkEnd w:id="19"/>
      <w:r>
        <w:rPr>
          <w:rFonts w:ascii="Times New Roman" w:eastAsia="Times New Roman" w:hAnsi="Times New Roman" w:cs="Times New Roman"/>
        </w:rPr>
        <w:t>Principais conclusões</w:t>
      </w:r>
    </w:p>
    <w:p w14:paraId="2D0D3F19" w14:textId="77777777" w:rsidR="003B7FBE" w:rsidRDefault="003B7FBE">
      <w:pPr>
        <w:jc w:val="both"/>
        <w:rPr>
          <w:rFonts w:ascii="Times New Roman" w:eastAsia="Times New Roman" w:hAnsi="Times New Roman" w:cs="Times New Roman"/>
          <w:sz w:val="24"/>
          <w:szCs w:val="24"/>
        </w:rPr>
      </w:pPr>
    </w:p>
    <w:p w14:paraId="2D0D3F1A" w14:textId="4D4C9B1B" w:rsidR="003B7FBE" w:rsidRPr="00AC6186" w:rsidRDefault="00AE3682" w:rsidP="00AC6186">
      <w:pPr>
        <w:pStyle w:val="PargrafodaLista"/>
        <w:numPr>
          <w:ilvl w:val="0"/>
          <w:numId w:val="7"/>
        </w:numPr>
        <w:rPr>
          <w:rFonts w:ascii="Times New Roman" w:eastAsiaTheme="minorEastAsia" w:hAnsi="Times New Roman" w:cs="Times New Roman"/>
        </w:rPr>
      </w:pPr>
      <w:r w:rsidRPr="00AC6186">
        <w:rPr>
          <w:rFonts w:ascii="Times New Roman" w:eastAsia="Times New Roman" w:hAnsi="Times New Roman" w:cs="Times New Roman"/>
          <w:color w:val="000000"/>
          <w:sz w:val="24"/>
          <w:szCs w:val="24"/>
        </w:rPr>
        <w:t xml:space="preserve">As chances de transição para o emprego entre jovens eram baixas já no período </w:t>
      </w:r>
      <w:proofErr w:type="spellStart"/>
      <w:r w:rsidRPr="00AC6186">
        <w:rPr>
          <w:rFonts w:ascii="Times New Roman" w:eastAsia="Times New Roman" w:hAnsi="Times New Roman" w:cs="Times New Roman"/>
          <w:color w:val="000000"/>
          <w:sz w:val="24"/>
          <w:szCs w:val="24"/>
        </w:rPr>
        <w:t>pré</w:t>
      </w:r>
      <w:proofErr w:type="spellEnd"/>
      <w:r w:rsidRPr="00AC6186">
        <w:rPr>
          <w:rFonts w:ascii="Times New Roman" w:eastAsia="Times New Roman" w:hAnsi="Times New Roman" w:cs="Times New Roman"/>
          <w:color w:val="000000"/>
          <w:sz w:val="24"/>
          <w:szCs w:val="24"/>
        </w:rPr>
        <w:t>-pandemia (~37%), caíram drasticamente na pandemia (~20%), e se recuperaram parcialmente no pós-pandemia (~45%).</w:t>
      </w:r>
    </w:p>
    <w:p w14:paraId="564E519B" w14:textId="77777777" w:rsidR="00AC6186" w:rsidRPr="00A23BCA" w:rsidRDefault="00AC6186" w:rsidP="00A23BCA">
      <w:pPr>
        <w:ind w:left="360"/>
        <w:rPr>
          <w:rFonts w:ascii="Times New Roman" w:eastAsiaTheme="minorEastAsia" w:hAnsi="Times New Roman" w:cs="Times New Roman"/>
          <w:sz w:val="18"/>
          <w:szCs w:val="18"/>
        </w:rPr>
      </w:pPr>
    </w:p>
    <w:p w14:paraId="2D0D3F1B" w14:textId="77777777" w:rsidR="003B7FBE" w:rsidRDefault="003B7FBE">
      <w:pPr>
        <w:pBdr>
          <w:top w:val="nil"/>
          <w:left w:val="nil"/>
          <w:bottom w:val="nil"/>
          <w:right w:val="nil"/>
          <w:between w:val="nil"/>
        </w:pBdr>
        <w:ind w:left="709"/>
        <w:jc w:val="both"/>
        <w:rPr>
          <w:rFonts w:ascii="Times New Roman" w:eastAsia="Times New Roman" w:hAnsi="Times New Roman" w:cs="Times New Roman"/>
          <w:color w:val="000000"/>
          <w:sz w:val="24"/>
          <w:szCs w:val="24"/>
        </w:rPr>
      </w:pPr>
    </w:p>
    <w:p w14:paraId="2D0D3F1C" w14:textId="77777777" w:rsidR="003B7FBE" w:rsidRDefault="00AE3682">
      <w:pPr>
        <w:numPr>
          <w:ilvl w:val="0"/>
          <w:numId w:val="4"/>
        </w:numPr>
        <w:pBdr>
          <w:top w:val="nil"/>
          <w:left w:val="nil"/>
          <w:bottom w:val="nil"/>
          <w:right w:val="nil"/>
          <w:between w:val="nil"/>
        </w:pBdr>
        <w:ind w:left="709"/>
        <w:jc w:val="both"/>
        <w:rPr>
          <w:color w:val="000000"/>
          <w:sz w:val="24"/>
          <w:szCs w:val="24"/>
        </w:rPr>
      </w:pPr>
      <w:r>
        <w:rPr>
          <w:rFonts w:ascii="Times New Roman" w:eastAsia="Times New Roman" w:hAnsi="Times New Roman" w:cs="Times New Roman"/>
          <w:color w:val="000000"/>
          <w:sz w:val="24"/>
          <w:szCs w:val="24"/>
        </w:rPr>
        <w:t xml:space="preserve">O modelo </w:t>
      </w:r>
      <w:proofErr w:type="spellStart"/>
      <w:r>
        <w:rPr>
          <w:rFonts w:ascii="Times New Roman" w:eastAsia="Times New Roman" w:hAnsi="Times New Roman" w:cs="Times New Roman"/>
          <w:color w:val="000000"/>
          <w:sz w:val="24"/>
          <w:szCs w:val="24"/>
        </w:rPr>
        <w:t>logit</w:t>
      </w:r>
      <w:proofErr w:type="spellEnd"/>
      <w:r>
        <w:rPr>
          <w:rFonts w:ascii="Times New Roman" w:eastAsia="Times New Roman" w:hAnsi="Times New Roman" w:cs="Times New Roman"/>
          <w:color w:val="000000"/>
          <w:sz w:val="24"/>
          <w:szCs w:val="24"/>
        </w:rPr>
        <w:t xml:space="preserve"> indica que mulheres e jovens não-brancos apresentaram maior probabilidade de transição, enquanto a escolaridade não teve efeito estatisticamente significativo.</w:t>
      </w:r>
    </w:p>
    <w:p w14:paraId="2D0D3F1D" w14:textId="77777777" w:rsidR="003B7FBE" w:rsidRDefault="003B7FBE">
      <w:pPr>
        <w:jc w:val="both"/>
        <w:rPr>
          <w:rFonts w:ascii="Times New Roman" w:eastAsia="Times New Roman" w:hAnsi="Times New Roman" w:cs="Times New Roman"/>
          <w:sz w:val="24"/>
          <w:szCs w:val="24"/>
        </w:rPr>
      </w:pPr>
    </w:p>
    <w:p w14:paraId="2D0D3F1E"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O modelo DIF-in-DIF mostrou que a pandemia penalizou de forma desproporcional os pardos e, em menor medida, pretos e mulheres, mas apenas as mulheres apresentaram recuperação total </w:t>
      </w:r>
      <w:proofErr w:type="gramStart"/>
      <w:r>
        <w:rPr>
          <w:rFonts w:ascii="Times New Roman" w:eastAsia="Times New Roman" w:hAnsi="Times New Roman" w:cs="Times New Roman"/>
          <w:color w:val="000000"/>
          <w:sz w:val="24"/>
          <w:szCs w:val="24"/>
        </w:rPr>
        <w:t>no pós</w:t>
      </w:r>
      <w:proofErr w:type="gramEnd"/>
      <w:r>
        <w:rPr>
          <w:rFonts w:ascii="Times New Roman" w:eastAsia="Times New Roman" w:hAnsi="Times New Roman" w:cs="Times New Roman"/>
          <w:color w:val="000000"/>
          <w:sz w:val="24"/>
          <w:szCs w:val="24"/>
        </w:rPr>
        <w:t>.</w:t>
      </w:r>
    </w:p>
    <w:p w14:paraId="2D0D3F1F" w14:textId="77777777" w:rsidR="003B7FBE" w:rsidRDefault="003B7FBE">
      <w:pPr>
        <w:jc w:val="both"/>
        <w:rPr>
          <w:rFonts w:ascii="Times New Roman" w:eastAsia="Times New Roman" w:hAnsi="Times New Roman" w:cs="Times New Roman"/>
          <w:sz w:val="24"/>
          <w:szCs w:val="24"/>
        </w:rPr>
      </w:pPr>
    </w:p>
    <w:p w14:paraId="2D0D3F20"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eficiência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juvenil caiu drasticamente com o choque da pandemia, com recuperação apenas parcial, indicando fricções adicionais persistentes no mercado.</w:t>
      </w:r>
    </w:p>
    <w:p w14:paraId="2D0D3F21" w14:textId="77777777" w:rsidR="003B7FBE" w:rsidRDefault="003B7FBE">
      <w:pPr>
        <w:jc w:val="both"/>
        <w:rPr>
          <w:rFonts w:ascii="Times New Roman" w:eastAsia="Times New Roman" w:hAnsi="Times New Roman" w:cs="Times New Roman"/>
          <w:sz w:val="24"/>
          <w:szCs w:val="24"/>
        </w:rPr>
      </w:pPr>
    </w:p>
    <w:p w14:paraId="2D0D3F22"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O modelo DMP estimado mostra que 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do mercado juvenil aumentou no pós-pandemia, a taxa de separação caiu, e o desemprego recuou para níveis menores que os pré-crise, indicando reestruturação das dinâmicas de contratação.</w:t>
      </w:r>
    </w:p>
    <w:p w14:paraId="2D0D3F23"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24" w14:textId="77777777" w:rsidR="003B7FBE" w:rsidRDefault="00AE3682">
      <w:pPr>
        <w:pStyle w:val="Ttulo2"/>
        <w:numPr>
          <w:ilvl w:val="0"/>
          <w:numId w:val="1"/>
        </w:numPr>
        <w:jc w:val="both"/>
      </w:pPr>
      <w:bookmarkStart w:id="20" w:name="_sqzb2mad53ha" w:colFirst="0" w:colLast="0"/>
      <w:bookmarkEnd w:id="20"/>
      <w:r>
        <w:rPr>
          <w:rFonts w:ascii="Times New Roman" w:eastAsia="Times New Roman" w:hAnsi="Times New Roman" w:cs="Times New Roman"/>
        </w:rPr>
        <w:t>Análise estatística</w:t>
      </w:r>
    </w:p>
    <w:p w14:paraId="2D0D3F25" w14:textId="77777777" w:rsidR="003B7FBE" w:rsidRDefault="003B7FBE">
      <w:pPr>
        <w:jc w:val="both"/>
        <w:rPr>
          <w:rFonts w:ascii="Times New Roman" w:eastAsia="Times New Roman" w:hAnsi="Times New Roman" w:cs="Times New Roman"/>
          <w:sz w:val="24"/>
          <w:szCs w:val="24"/>
        </w:rPr>
      </w:pPr>
    </w:p>
    <w:p w14:paraId="2D0D3F2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regressão logística com interações evidenciou efeitos marginais heterogêneos do choque pandêmico. Por exemplo, o coeficiente para jovens adultos (25–29 anos) foi negativo e significativo, sugerindo que esse grupo sofreu mais que adolescentes. Já as mulheres passaram a apresentar vantagem estatística na transição, provavelmente associada à expansão de setores como saúde e cuidado.</w:t>
      </w:r>
    </w:p>
    <w:p w14:paraId="2D0D3F27" w14:textId="77777777" w:rsidR="003B7FBE" w:rsidRDefault="003B7FBE">
      <w:pPr>
        <w:ind w:left="360"/>
        <w:jc w:val="both"/>
        <w:rPr>
          <w:rFonts w:ascii="Times New Roman" w:eastAsia="Times New Roman" w:hAnsi="Times New Roman" w:cs="Times New Roman"/>
          <w:sz w:val="24"/>
          <w:szCs w:val="24"/>
        </w:rPr>
      </w:pPr>
    </w:p>
    <w:p w14:paraId="2D0D3F28"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foi estimada por meio da regressão:</w:t>
      </w:r>
    </w:p>
    <w:p w14:paraId="2D0D3F29" w14:textId="77777777" w:rsidR="003B7FBE" w:rsidRDefault="003B7FBE">
      <w:pPr>
        <w:ind w:left="360"/>
        <w:jc w:val="both"/>
        <w:rPr>
          <w:rFonts w:ascii="Times New Roman" w:eastAsia="Times New Roman" w:hAnsi="Times New Roman" w:cs="Times New Roman"/>
          <w:sz w:val="24"/>
          <w:szCs w:val="24"/>
        </w:rPr>
      </w:pPr>
    </w:p>
    <w:p w14:paraId="2D0D3F2A" w14:textId="77777777" w:rsidR="003B7FBE" w:rsidRDefault="00AE3682">
      <w:pPr>
        <w:jc w:val="center"/>
        <w:rPr>
          <w:rFonts w:ascii="Cambria Math" w:eastAsia="Cambria Math" w:hAnsi="Cambria Math" w:cs="Cambria Math"/>
          <w:sz w:val="24"/>
          <w:szCs w:val="24"/>
        </w:rPr>
      </w:pPr>
      <m:oMathPara>
        <m:oMath>
          <m:r>
            <w:rPr>
              <w:rFonts w:ascii="Cambria Math" w:eastAsia="Cambria Math" w:hAnsi="Cambria Math" w:cs="Cambria Math"/>
              <w:sz w:val="24"/>
              <w:szCs w:val="24"/>
            </w:rPr>
            <m:t>log</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f</m:t>
                  </m:r>
                </m:e>
                <m:sub>
                  <m:r>
                    <w:rPr>
                      <w:rFonts w:ascii="Cambria Math" w:eastAsia="Cambria Math" w:hAnsi="Cambria Math" w:cs="Cambria Math"/>
                      <w:sz w:val="24"/>
                      <w:szCs w:val="24"/>
                    </w:rPr>
                    <m:t>t</m:t>
                  </m:r>
                </m:sub>
              </m:sSub>
            </m:e>
          </m:d>
          <m:r>
            <w:rPr>
              <w:rFonts w:ascii="Cambria Math" w:eastAsia="Cambria Math" w:hAnsi="Cambria Math" w:cs="Cambria Math"/>
              <w:sz w:val="24"/>
              <w:szCs w:val="24"/>
            </w:rPr>
            <m:t>=log</m:t>
          </m:r>
          <m:d>
            <m:dPr>
              <m:ctrlPr>
                <w:rPr>
                  <w:rFonts w:ascii="Cambria Math" w:eastAsia="Cambria Math" w:hAnsi="Cambria Math" w:cs="Cambria Math"/>
                  <w:sz w:val="24"/>
                  <w:szCs w:val="24"/>
                </w:rPr>
              </m:ctrlPr>
            </m:dPr>
            <m:e>
              <m:r>
                <w:rPr>
                  <w:rFonts w:ascii="Cambria Math" w:eastAsia="Cambria Math" w:hAnsi="Cambria Math" w:cs="Cambria Math"/>
                  <w:sz w:val="24"/>
                  <w:szCs w:val="24"/>
                </w:rPr>
                <m:t>A</m:t>
              </m:r>
            </m:e>
          </m:d>
          <m:r>
            <w:rPr>
              <w:rFonts w:ascii="Cambria Math" w:eastAsia="Cambria Math" w:hAnsi="Cambria Math" w:cs="Cambria Math"/>
              <w:sz w:val="24"/>
              <w:szCs w:val="24"/>
            </w:rPr>
            <m:t>+αlog</m:t>
          </m:r>
          <m:d>
            <m:dPr>
              <m:ctrlPr>
                <w:rPr>
                  <w:rFonts w:ascii="Cambria Math" w:eastAsia="Cambria Math" w:hAnsi="Cambria Math" w:cs="Cambria Math"/>
                  <w:sz w:val="24"/>
                  <w:szCs w:val="24"/>
                </w:rPr>
              </m:ctrlPr>
            </m:dPr>
            <m:e>
              <m:sSub>
                <m:sSubPr>
                  <m:ctrlPr>
                    <w:rPr>
                      <w:rFonts w:ascii="Cambria Math" w:eastAsia="Cambria Math" w:hAnsi="Cambria Math" w:cs="Cambria Math"/>
                      <w:sz w:val="24"/>
                      <w:szCs w:val="24"/>
                    </w:rPr>
                  </m:ctrlPr>
                </m:sSubPr>
                <m:e>
                  <m:r>
                    <w:rPr>
                      <w:rFonts w:ascii="Cambria Math" w:eastAsia="Cambria Math" w:hAnsi="Cambria Math" w:cs="Cambria Math"/>
                      <w:sz w:val="24"/>
                      <w:szCs w:val="24"/>
                    </w:rPr>
                    <m:t>θ</m:t>
                  </m:r>
                </m:e>
                <m:sub>
                  <m:r>
                    <w:rPr>
                      <w:rFonts w:ascii="Cambria Math" w:eastAsia="Cambria Math" w:hAnsi="Cambria Math" w:cs="Cambria Math"/>
                      <w:sz w:val="24"/>
                      <w:szCs w:val="24"/>
                    </w:rPr>
                    <m:t>t</m:t>
                  </m:r>
                </m:sub>
              </m:sSub>
            </m:e>
          </m:d>
        </m:oMath>
      </m:oMathPara>
    </w:p>
    <w:p w14:paraId="2D0D3F2B" w14:textId="77777777" w:rsidR="003B7FBE" w:rsidRDefault="003B7FBE">
      <w:pPr>
        <w:ind w:left="360"/>
        <w:jc w:val="both"/>
        <w:rPr>
          <w:rFonts w:ascii="Times New Roman" w:eastAsia="Times New Roman" w:hAnsi="Times New Roman" w:cs="Times New Roman"/>
          <w:sz w:val="24"/>
          <w:szCs w:val="24"/>
        </w:rPr>
      </w:pPr>
    </w:p>
    <w:p w14:paraId="2D0D3F2C"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 </w:t>
      </w:r>
      <m:oMath>
        <m:r>
          <w:rPr>
            <w:rFonts w:ascii="Cambria Math" w:eastAsia="Cambria Math" w:hAnsi="Cambria Math" w:cs="Cambria Math"/>
            <w:sz w:val="24"/>
            <w:szCs w:val="24"/>
          </w:rPr>
          <m:t>α ≈ 0,73</m:t>
        </m:r>
      </m:oMath>
      <w:r>
        <w:rPr>
          <w:rFonts w:ascii="Times New Roman" w:eastAsia="Times New Roman" w:hAnsi="Times New Roman" w:cs="Times New Roman"/>
          <w:sz w:val="24"/>
          <w:szCs w:val="24"/>
        </w:rPr>
        <w:t>, permitindo avaliar quão distante o mercado jovem opera da fronteira de eficiência agregada.</w:t>
      </w:r>
    </w:p>
    <w:p w14:paraId="2D0D3F2D" w14:textId="77777777" w:rsidR="003B7FBE" w:rsidRDefault="003B7FBE">
      <w:pPr>
        <w:ind w:left="360"/>
        <w:jc w:val="both"/>
        <w:rPr>
          <w:rFonts w:ascii="Times New Roman" w:eastAsia="Times New Roman" w:hAnsi="Times New Roman" w:cs="Times New Roman"/>
          <w:sz w:val="24"/>
          <w:szCs w:val="24"/>
        </w:rPr>
      </w:pPr>
    </w:p>
    <w:p w14:paraId="2D0D3F2E" w14:textId="77777777" w:rsidR="003B7FBE" w:rsidRDefault="00AE3682">
      <w:pPr>
        <w:pStyle w:val="Ttulo2"/>
        <w:numPr>
          <w:ilvl w:val="0"/>
          <w:numId w:val="1"/>
        </w:numPr>
        <w:jc w:val="both"/>
      </w:pPr>
      <w:bookmarkStart w:id="21" w:name="_sye1t3pxe63f" w:colFirst="0" w:colLast="0"/>
      <w:bookmarkEnd w:id="21"/>
      <w:r>
        <w:rPr>
          <w:rFonts w:ascii="Times New Roman" w:eastAsia="Times New Roman" w:hAnsi="Times New Roman" w:cs="Times New Roman"/>
        </w:rPr>
        <w:t>Interpretação dos resultados</w:t>
      </w:r>
    </w:p>
    <w:p w14:paraId="2D0D3F2F" w14:textId="77777777" w:rsidR="003B7FBE" w:rsidRDefault="003B7FBE">
      <w:pPr>
        <w:jc w:val="both"/>
        <w:rPr>
          <w:rFonts w:ascii="Times New Roman" w:eastAsia="Times New Roman" w:hAnsi="Times New Roman" w:cs="Times New Roman"/>
          <w:sz w:val="24"/>
          <w:szCs w:val="24"/>
        </w:rPr>
      </w:pPr>
    </w:p>
    <w:p w14:paraId="2D0D3F3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hipótese de que a pandemia acentuou desigualdades preexistentes é parcialmente confirmada: mulheres e não-brancos ampliaram sua inserção, mas pardos e jovens adultos foram penalizados. A hipótese de que o mercado se tornaria estruturalmente menos eficiente também se confirmou parcialmente, dada a queda na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Contudo, a elevação da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 redução da separação indicam reorganização estrutural, com melhora nos vínculos e talvez maior seletividade empresarial.</w:t>
      </w:r>
    </w:p>
    <w:p w14:paraId="2D0D3F31" w14:textId="77777777" w:rsidR="003B7FBE" w:rsidRDefault="003B7FBE">
      <w:pPr>
        <w:jc w:val="both"/>
        <w:rPr>
          <w:rFonts w:ascii="Times New Roman" w:eastAsia="Times New Roman" w:hAnsi="Times New Roman" w:cs="Times New Roman"/>
          <w:sz w:val="24"/>
          <w:szCs w:val="24"/>
        </w:rPr>
      </w:pPr>
    </w:p>
    <w:p w14:paraId="2D0D3F32" w14:textId="77777777" w:rsidR="003B7FBE" w:rsidRDefault="00AE3682">
      <w:pPr>
        <w:pStyle w:val="Ttulo1"/>
        <w:jc w:val="both"/>
        <w:rPr>
          <w:rFonts w:ascii="Times New Roman" w:eastAsia="Times New Roman" w:hAnsi="Times New Roman" w:cs="Times New Roman"/>
        </w:rPr>
      </w:pPr>
      <w:bookmarkStart w:id="22" w:name="_9munosc7f5i3" w:colFirst="0" w:colLast="0"/>
      <w:bookmarkEnd w:id="22"/>
      <w:r>
        <w:rPr>
          <w:rFonts w:ascii="Times New Roman" w:eastAsia="Times New Roman" w:hAnsi="Times New Roman" w:cs="Times New Roman"/>
        </w:rPr>
        <w:t>DISCUSSÃO</w:t>
      </w:r>
    </w:p>
    <w:p w14:paraId="2D0D3F33" w14:textId="77777777" w:rsidR="003B7FBE" w:rsidRDefault="003B7FBE">
      <w:pPr>
        <w:jc w:val="both"/>
        <w:rPr>
          <w:rFonts w:ascii="Times New Roman" w:eastAsia="Times New Roman" w:hAnsi="Times New Roman" w:cs="Times New Roman"/>
          <w:b/>
          <w:sz w:val="24"/>
          <w:szCs w:val="24"/>
        </w:rPr>
      </w:pPr>
    </w:p>
    <w:p w14:paraId="2D0D3F34" w14:textId="77777777" w:rsidR="003B7FBE" w:rsidRDefault="00AE3682">
      <w:pPr>
        <w:pStyle w:val="Ttulo2"/>
        <w:numPr>
          <w:ilvl w:val="0"/>
          <w:numId w:val="1"/>
        </w:numPr>
        <w:jc w:val="both"/>
      </w:pPr>
      <w:bookmarkStart w:id="23" w:name="_a8m5ts49xu4k" w:colFirst="0" w:colLast="0"/>
      <w:bookmarkEnd w:id="23"/>
      <w:r>
        <w:rPr>
          <w:rFonts w:ascii="Times New Roman" w:eastAsia="Times New Roman" w:hAnsi="Times New Roman" w:cs="Times New Roman"/>
        </w:rPr>
        <w:lastRenderedPageBreak/>
        <w:t>Síntese dos resultados</w:t>
      </w:r>
    </w:p>
    <w:p w14:paraId="2D0D3F35" w14:textId="77777777" w:rsidR="003B7FBE" w:rsidRDefault="003B7FBE">
      <w:pPr>
        <w:jc w:val="both"/>
        <w:rPr>
          <w:rFonts w:ascii="Times New Roman" w:eastAsia="Times New Roman" w:hAnsi="Times New Roman" w:cs="Times New Roman"/>
          <w:sz w:val="24"/>
          <w:szCs w:val="24"/>
        </w:rPr>
      </w:pPr>
    </w:p>
    <w:p w14:paraId="2D0D3F36"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 mercado de trabalho juvenil foi gravemente afetado pela pandemia, mas os resultados apontam para um choque transitório com efeitos permanentes moderados. A recuperação de indicadores quantitativos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desemprego, separação) contrasta com a persistência de fricções e desigualdades estruturais, exigindo políticas mais focadas e permanentes.</w:t>
      </w:r>
    </w:p>
    <w:p w14:paraId="2D0D3F37" w14:textId="77777777" w:rsidR="003B7FBE" w:rsidRDefault="003B7FBE">
      <w:pPr>
        <w:ind w:left="360"/>
        <w:jc w:val="both"/>
        <w:rPr>
          <w:rFonts w:ascii="Times New Roman" w:eastAsia="Times New Roman" w:hAnsi="Times New Roman" w:cs="Times New Roman"/>
          <w:sz w:val="24"/>
          <w:szCs w:val="24"/>
        </w:rPr>
      </w:pPr>
    </w:p>
    <w:p w14:paraId="2D0D3F38" w14:textId="77777777" w:rsidR="003B7FBE" w:rsidRDefault="00AE3682">
      <w:pPr>
        <w:pStyle w:val="Ttulo2"/>
        <w:numPr>
          <w:ilvl w:val="0"/>
          <w:numId w:val="1"/>
        </w:numPr>
        <w:jc w:val="both"/>
      </w:pPr>
      <w:bookmarkStart w:id="24" w:name="_chkt6jvcgpmt" w:colFirst="0" w:colLast="0"/>
      <w:bookmarkEnd w:id="24"/>
      <w:r>
        <w:rPr>
          <w:rFonts w:ascii="Times New Roman" w:eastAsia="Times New Roman" w:hAnsi="Times New Roman" w:cs="Times New Roman"/>
        </w:rPr>
        <w:t>Relações com a questão da pesquisa</w:t>
      </w:r>
    </w:p>
    <w:p w14:paraId="2D0D3F39" w14:textId="77777777" w:rsidR="003B7FBE" w:rsidRDefault="003B7FBE">
      <w:pPr>
        <w:jc w:val="both"/>
        <w:rPr>
          <w:rFonts w:ascii="Times New Roman" w:eastAsia="Times New Roman" w:hAnsi="Times New Roman" w:cs="Times New Roman"/>
          <w:sz w:val="24"/>
          <w:szCs w:val="24"/>
        </w:rPr>
      </w:pPr>
    </w:p>
    <w:p w14:paraId="2D0D3F3A"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 perguntas centrais da pesquisa — se a pandemia alterou as chances de ocupação juvenil, se houve penalizações específicas e se houve recuperação estrutural — foram respondidas afirmativamente e com nuances. Houve deterioração significativa nas transições, penalizações específicas por cor e idade, e rearranjo parcial das estruturas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A hipótese de que a pandemia representou uma inflexão nas estruturas de alocação juvenil é parcialmente confirmada.</w:t>
      </w:r>
    </w:p>
    <w:p w14:paraId="2D0D3F3B" w14:textId="77777777" w:rsidR="003B7FBE" w:rsidRDefault="003B7FBE">
      <w:pPr>
        <w:ind w:left="360"/>
        <w:jc w:val="both"/>
        <w:rPr>
          <w:rFonts w:ascii="Times New Roman" w:eastAsia="Times New Roman" w:hAnsi="Times New Roman" w:cs="Times New Roman"/>
          <w:sz w:val="24"/>
          <w:szCs w:val="24"/>
        </w:rPr>
      </w:pPr>
    </w:p>
    <w:p w14:paraId="2D0D3F3C" w14:textId="77777777" w:rsidR="003B7FBE" w:rsidRDefault="00AE3682">
      <w:pPr>
        <w:pStyle w:val="Ttulo2"/>
        <w:numPr>
          <w:ilvl w:val="0"/>
          <w:numId w:val="1"/>
        </w:numPr>
        <w:jc w:val="both"/>
      </w:pPr>
      <w:bookmarkStart w:id="25" w:name="_pxhslj7vb71e" w:colFirst="0" w:colLast="0"/>
      <w:bookmarkEnd w:id="25"/>
      <w:r>
        <w:rPr>
          <w:rFonts w:ascii="Times New Roman" w:eastAsia="Times New Roman" w:hAnsi="Times New Roman" w:cs="Times New Roman"/>
        </w:rPr>
        <w:t>Implicações dos resultados</w:t>
      </w:r>
    </w:p>
    <w:p w14:paraId="2D0D3F3D" w14:textId="77777777" w:rsidR="003B7FBE" w:rsidRDefault="003B7FBE">
      <w:pPr>
        <w:jc w:val="both"/>
        <w:rPr>
          <w:rFonts w:ascii="Times New Roman" w:eastAsia="Times New Roman" w:hAnsi="Times New Roman" w:cs="Times New Roman"/>
          <w:sz w:val="24"/>
          <w:szCs w:val="24"/>
        </w:rPr>
      </w:pPr>
    </w:p>
    <w:p w14:paraId="2D0D3F3E"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Políticas públicas devem ir além da qualificação genérica: há fricções por localização, idade e gênero que requerem mecanismos de incentivo à contratação direcionados.</w:t>
      </w:r>
    </w:p>
    <w:p w14:paraId="2D0D3F3F"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0"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persistência da baixa eficiência de </w:t>
      </w:r>
      <w:proofErr w:type="spellStart"/>
      <w:r>
        <w:rPr>
          <w:rFonts w:ascii="Times New Roman" w:eastAsia="Times New Roman" w:hAnsi="Times New Roman" w:cs="Times New Roman"/>
          <w:color w:val="000000"/>
          <w:sz w:val="24"/>
          <w:szCs w:val="24"/>
        </w:rPr>
        <w:t>matching</w:t>
      </w:r>
      <w:proofErr w:type="spellEnd"/>
      <w:r>
        <w:rPr>
          <w:rFonts w:ascii="Times New Roman" w:eastAsia="Times New Roman" w:hAnsi="Times New Roman" w:cs="Times New Roman"/>
          <w:color w:val="000000"/>
          <w:sz w:val="24"/>
          <w:szCs w:val="24"/>
        </w:rPr>
        <w:t xml:space="preserve"> pós-pandemia alerta para desalinhamentos entre perfis juvenis e demanda do setor formal, demandando mediação ativa via serviços públicos de intermediação.</w:t>
      </w:r>
    </w:p>
    <w:p w14:paraId="2D0D3F41" w14:textId="77777777" w:rsidR="003B7FBE" w:rsidRDefault="003B7FBE">
      <w:pPr>
        <w:jc w:val="both"/>
        <w:rPr>
          <w:rFonts w:ascii="Times New Roman" w:eastAsia="Times New Roman" w:hAnsi="Times New Roman" w:cs="Times New Roman"/>
          <w:sz w:val="24"/>
          <w:szCs w:val="24"/>
        </w:rPr>
      </w:pPr>
    </w:p>
    <w:p w14:paraId="2D0D3F42"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O modelo DMP oferece base sólida para simulações contrafactuais de política, como subsídios ao custo de vaga ou elevação do valor de fora (z).</w:t>
      </w:r>
    </w:p>
    <w:p w14:paraId="2D0D3F43"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4" w14:textId="77777777" w:rsidR="003B7FBE" w:rsidRDefault="00AE3682">
      <w:pPr>
        <w:pStyle w:val="Ttulo2"/>
        <w:numPr>
          <w:ilvl w:val="0"/>
          <w:numId w:val="1"/>
        </w:numPr>
        <w:jc w:val="both"/>
      </w:pPr>
      <w:bookmarkStart w:id="26" w:name="_n7iqyzls5q23" w:colFirst="0" w:colLast="0"/>
      <w:bookmarkEnd w:id="26"/>
      <w:r>
        <w:rPr>
          <w:rFonts w:ascii="Times New Roman" w:eastAsia="Times New Roman" w:hAnsi="Times New Roman" w:cs="Times New Roman"/>
        </w:rPr>
        <w:t>Limitações do estudo</w:t>
      </w:r>
    </w:p>
    <w:p w14:paraId="2D0D3F45" w14:textId="77777777" w:rsidR="003B7FBE" w:rsidRDefault="003B7FBE">
      <w:pPr>
        <w:jc w:val="both"/>
        <w:rPr>
          <w:rFonts w:ascii="Times New Roman" w:eastAsia="Times New Roman" w:hAnsi="Times New Roman" w:cs="Times New Roman"/>
          <w:sz w:val="24"/>
          <w:szCs w:val="24"/>
        </w:rPr>
      </w:pPr>
    </w:p>
    <w:p w14:paraId="2D0D3F46"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 xml:space="preserve">A utilização de proxies para o número de vagas (admissões formais) pode subestimar a </w:t>
      </w:r>
      <w:proofErr w:type="spellStart"/>
      <w:r>
        <w:rPr>
          <w:rFonts w:ascii="Times New Roman" w:eastAsia="Times New Roman" w:hAnsi="Times New Roman" w:cs="Times New Roman"/>
          <w:color w:val="000000"/>
          <w:sz w:val="24"/>
          <w:szCs w:val="24"/>
        </w:rPr>
        <w:t>tightness</w:t>
      </w:r>
      <w:proofErr w:type="spellEnd"/>
      <w:r>
        <w:rPr>
          <w:rFonts w:ascii="Times New Roman" w:eastAsia="Times New Roman" w:hAnsi="Times New Roman" w:cs="Times New Roman"/>
          <w:color w:val="000000"/>
          <w:sz w:val="24"/>
          <w:szCs w:val="24"/>
        </w:rPr>
        <w:t xml:space="preserve"> real do mercado informal.</w:t>
      </w:r>
    </w:p>
    <w:p w14:paraId="2D0D3F47" w14:textId="77777777" w:rsidR="003B7FBE" w:rsidRDefault="003B7FBE">
      <w:pPr>
        <w:pBdr>
          <w:top w:val="nil"/>
          <w:left w:val="nil"/>
          <w:bottom w:val="nil"/>
          <w:right w:val="nil"/>
          <w:between w:val="nil"/>
        </w:pBdr>
        <w:ind w:left="720"/>
        <w:jc w:val="both"/>
        <w:rPr>
          <w:rFonts w:ascii="Times New Roman" w:eastAsia="Times New Roman" w:hAnsi="Times New Roman" w:cs="Times New Roman"/>
          <w:color w:val="000000"/>
          <w:sz w:val="24"/>
          <w:szCs w:val="24"/>
        </w:rPr>
      </w:pPr>
    </w:p>
    <w:p w14:paraId="2D0D3F48"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 estruturação do modelo DMP é estática; abordagens dinâmicas poderiam oferecer insights sobre trajetória e histerese.</w:t>
      </w:r>
    </w:p>
    <w:p w14:paraId="2D0D3F49" w14:textId="77777777" w:rsidR="003B7FBE" w:rsidRDefault="003B7FBE">
      <w:pPr>
        <w:jc w:val="both"/>
        <w:rPr>
          <w:rFonts w:ascii="Times New Roman" w:eastAsia="Times New Roman" w:hAnsi="Times New Roman" w:cs="Times New Roman"/>
          <w:sz w:val="24"/>
          <w:szCs w:val="24"/>
        </w:rPr>
      </w:pPr>
    </w:p>
    <w:p w14:paraId="2D0D3F4A" w14:textId="77777777" w:rsidR="003B7FBE" w:rsidRDefault="00AE3682">
      <w:pPr>
        <w:numPr>
          <w:ilvl w:val="0"/>
          <w:numId w:val="4"/>
        </w:numPr>
        <w:pBdr>
          <w:top w:val="nil"/>
          <w:left w:val="nil"/>
          <w:bottom w:val="nil"/>
          <w:right w:val="nil"/>
          <w:between w:val="nil"/>
        </w:pBdr>
        <w:jc w:val="both"/>
        <w:rPr>
          <w:color w:val="000000"/>
          <w:sz w:val="24"/>
          <w:szCs w:val="24"/>
        </w:rPr>
      </w:pPr>
      <w:r>
        <w:rPr>
          <w:rFonts w:ascii="Times New Roman" w:eastAsia="Times New Roman" w:hAnsi="Times New Roman" w:cs="Times New Roman"/>
          <w:color w:val="000000"/>
          <w:sz w:val="24"/>
          <w:szCs w:val="24"/>
        </w:rPr>
        <w:t>Algumas interações com a variável escolaridade apresentaram imprecisão nas estimativas, limitando inferências conclusivas.</w:t>
      </w:r>
    </w:p>
    <w:p w14:paraId="2D0D3F4B" w14:textId="77777777" w:rsidR="003B7FBE" w:rsidRDefault="003B7FBE">
      <w:pPr>
        <w:jc w:val="both"/>
        <w:rPr>
          <w:rFonts w:ascii="Times New Roman" w:eastAsia="Times New Roman" w:hAnsi="Times New Roman" w:cs="Times New Roman"/>
          <w:b/>
          <w:sz w:val="24"/>
          <w:szCs w:val="24"/>
        </w:rPr>
      </w:pPr>
      <w:bookmarkStart w:id="27" w:name="_flbwpk3h4y40" w:colFirst="0" w:colLast="0"/>
      <w:bookmarkEnd w:id="27"/>
    </w:p>
    <w:p w14:paraId="2D0D3F4C" w14:textId="77777777" w:rsidR="003B7FBE" w:rsidRDefault="00AE3682">
      <w:pPr>
        <w:pStyle w:val="Ttulo1"/>
        <w:jc w:val="both"/>
        <w:rPr>
          <w:rFonts w:ascii="Times New Roman" w:eastAsia="Times New Roman" w:hAnsi="Times New Roman" w:cs="Times New Roman"/>
        </w:rPr>
      </w:pPr>
      <w:bookmarkStart w:id="28" w:name="_xmwgn7dcdush" w:colFirst="0" w:colLast="0"/>
      <w:bookmarkEnd w:id="28"/>
      <w:r>
        <w:rPr>
          <w:rFonts w:ascii="Times New Roman" w:eastAsia="Times New Roman" w:hAnsi="Times New Roman" w:cs="Times New Roman"/>
        </w:rPr>
        <w:t>CONCLUSÃO</w:t>
      </w:r>
    </w:p>
    <w:p w14:paraId="2D0D3F4D" w14:textId="77777777" w:rsidR="003B7FBE" w:rsidRDefault="003B7FBE">
      <w:pPr>
        <w:jc w:val="both"/>
        <w:rPr>
          <w:rFonts w:ascii="Times New Roman" w:eastAsia="Times New Roman" w:hAnsi="Times New Roman" w:cs="Times New Roman"/>
          <w:b/>
          <w:sz w:val="24"/>
          <w:szCs w:val="24"/>
        </w:rPr>
      </w:pPr>
    </w:p>
    <w:p w14:paraId="2D0D3F4E" w14:textId="77777777" w:rsidR="003B7FBE" w:rsidRDefault="00AE3682">
      <w:pPr>
        <w:pStyle w:val="Ttulo2"/>
        <w:numPr>
          <w:ilvl w:val="0"/>
          <w:numId w:val="1"/>
        </w:numPr>
        <w:jc w:val="both"/>
      </w:pPr>
      <w:bookmarkStart w:id="29" w:name="_96lq1moxgz8g" w:colFirst="0" w:colLast="0"/>
      <w:bookmarkEnd w:id="29"/>
      <w:r>
        <w:rPr>
          <w:rFonts w:ascii="Times New Roman" w:eastAsia="Times New Roman" w:hAnsi="Times New Roman" w:cs="Times New Roman"/>
        </w:rPr>
        <w:t>Resumo dos principais pontos</w:t>
      </w:r>
    </w:p>
    <w:p w14:paraId="2D0D3F4F" w14:textId="77777777" w:rsidR="003B7FBE" w:rsidRDefault="003B7FBE">
      <w:pPr>
        <w:jc w:val="both"/>
        <w:rPr>
          <w:rFonts w:ascii="Times New Roman" w:eastAsia="Times New Roman" w:hAnsi="Times New Roman" w:cs="Times New Roman"/>
          <w:sz w:val="24"/>
          <w:szCs w:val="24"/>
        </w:rPr>
      </w:pPr>
    </w:p>
    <w:p w14:paraId="2D0D3F50" w14:textId="77777777" w:rsidR="003B7FBE" w:rsidRDefault="00AE3682">
      <w:pPr>
        <w:ind w:left="36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 pesquisa confirmou que a pandemia representou um choque severo e assimétrico no mercado de trabalho juvenil brasileiro. Contudo, ao contrário do que parte da literatura previa, os efeitos não foram integralmente permanentes. Houve reacomodação estrutural no pós-pandemia, com </w:t>
      </w:r>
      <w:proofErr w:type="spellStart"/>
      <w:r>
        <w:rPr>
          <w:rFonts w:ascii="Times New Roman" w:eastAsia="Times New Roman" w:hAnsi="Times New Roman" w:cs="Times New Roman"/>
          <w:sz w:val="24"/>
          <w:szCs w:val="24"/>
        </w:rPr>
        <w:t>tightness</w:t>
      </w:r>
      <w:proofErr w:type="spellEnd"/>
      <w:r>
        <w:rPr>
          <w:rFonts w:ascii="Times New Roman" w:eastAsia="Times New Roman" w:hAnsi="Times New Roman" w:cs="Times New Roman"/>
          <w:sz w:val="24"/>
          <w:szCs w:val="24"/>
        </w:rPr>
        <w:t xml:space="preserve"> elevada e queda na separação, mas a eficiência de </w:t>
      </w:r>
      <w:proofErr w:type="spellStart"/>
      <w:r>
        <w:rPr>
          <w:rFonts w:ascii="Times New Roman" w:eastAsia="Times New Roman" w:hAnsi="Times New Roman" w:cs="Times New Roman"/>
          <w:sz w:val="24"/>
          <w:szCs w:val="24"/>
        </w:rPr>
        <w:t>matching</w:t>
      </w:r>
      <w:proofErr w:type="spellEnd"/>
      <w:r>
        <w:rPr>
          <w:rFonts w:ascii="Times New Roman" w:eastAsia="Times New Roman" w:hAnsi="Times New Roman" w:cs="Times New Roman"/>
          <w:sz w:val="24"/>
          <w:szCs w:val="24"/>
        </w:rPr>
        <w:t xml:space="preserve"> permanece aquém do esperado, especialmente para grupos como jovens adultos e pardos. O uso integrado de modelos econométricos e estruturais como o DMP mostrou-se essencial para compreender não apenas os sintomas da crise, mas suas engrenagens internas. Os resultados reforçam a urgência de políticas públicas que operem simultaneamente nos canais da qualificação, do incentivo à contratação e da redução das fricções institucionais.</w:t>
      </w:r>
    </w:p>
    <w:p w14:paraId="2D0D3F51" w14:textId="77777777" w:rsidR="003B7FBE" w:rsidRDefault="00AE3682">
      <w:pPr>
        <w:rPr>
          <w:rFonts w:ascii="Times New Roman" w:eastAsia="Times New Roman" w:hAnsi="Times New Roman" w:cs="Times New Roman"/>
          <w:sz w:val="24"/>
          <w:szCs w:val="24"/>
        </w:rPr>
      </w:pPr>
      <w:r>
        <w:br w:type="page"/>
      </w:r>
    </w:p>
    <w:p w14:paraId="2D0D3F52" w14:textId="77777777" w:rsidR="003B7FBE" w:rsidRDefault="00AE3682">
      <w:pPr>
        <w:pStyle w:val="Ttulo1"/>
        <w:jc w:val="both"/>
        <w:rPr>
          <w:rFonts w:ascii="Times New Roman" w:eastAsia="Times New Roman" w:hAnsi="Times New Roman" w:cs="Times New Roman"/>
        </w:rPr>
      </w:pPr>
      <w:bookmarkStart w:id="30" w:name="_y7dbf06sjxqr" w:colFirst="0" w:colLast="0"/>
      <w:bookmarkEnd w:id="30"/>
      <w:r>
        <w:rPr>
          <w:rFonts w:ascii="Times New Roman" w:eastAsia="Times New Roman" w:hAnsi="Times New Roman" w:cs="Times New Roman"/>
        </w:rPr>
        <w:lastRenderedPageBreak/>
        <w:t>REFERÊNCIAS BIBLIOGRÁFICAS</w:t>
      </w:r>
    </w:p>
    <w:p w14:paraId="2D0D3F53" w14:textId="77777777" w:rsidR="003B7FBE" w:rsidRDefault="003B7FBE">
      <w:pPr>
        <w:jc w:val="both"/>
        <w:rPr>
          <w:rFonts w:ascii="Times New Roman" w:eastAsia="Times New Roman" w:hAnsi="Times New Roman" w:cs="Times New Roman"/>
          <w:sz w:val="24"/>
          <w:szCs w:val="24"/>
        </w:rPr>
      </w:pPr>
    </w:p>
    <w:p w14:paraId="2D0D3F54" w14:textId="77777777" w:rsidR="003B7FBE" w:rsidRPr="00AE3682" w:rsidRDefault="00AE3682">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[1] BRASIL. </w:t>
      </w:r>
      <w:r>
        <w:rPr>
          <w:rFonts w:ascii="Times New Roman" w:eastAsia="Times New Roman" w:hAnsi="Times New Roman" w:cs="Times New Roman"/>
          <w:b/>
          <w:sz w:val="24"/>
          <w:szCs w:val="24"/>
        </w:rPr>
        <w:t>Brasil tem a 4a maior taxa de desemprego do mundo, aponta ranking com 44 países</w:t>
      </w:r>
      <w:r>
        <w:rPr>
          <w:rFonts w:ascii="Times New Roman" w:eastAsia="Times New Roman" w:hAnsi="Times New Roman" w:cs="Times New Roman"/>
          <w:sz w:val="24"/>
          <w:szCs w:val="24"/>
        </w:rPr>
        <w:t xml:space="preserve">. Disponível em: &lt;https://g1.globo.com/economia/noticia/2021/11/22/brasil-tem-a-4a-maior-taxa-de-desemprego-do-mundo-aponta-ranking-com-44-paises.ghtml&gt;. </w:t>
      </w:r>
      <w:r w:rsidRPr="00AE3682">
        <w:rPr>
          <w:rFonts w:ascii="Times New Roman" w:eastAsia="Times New Roman" w:hAnsi="Times New Roman" w:cs="Times New Roman"/>
          <w:sz w:val="24"/>
          <w:szCs w:val="24"/>
          <w:lang w:val="en-US"/>
        </w:rPr>
        <w:t>Acesso em: 27 jan. 2025.</w:t>
      </w:r>
    </w:p>
    <w:p w14:paraId="2D0D3F55" w14:textId="77777777" w:rsidR="003B7FBE" w:rsidRPr="00AE3682" w:rsidRDefault="003B7FBE">
      <w:pPr>
        <w:jc w:val="both"/>
        <w:rPr>
          <w:rFonts w:ascii="Times New Roman" w:eastAsia="Times New Roman" w:hAnsi="Times New Roman" w:cs="Times New Roman"/>
          <w:sz w:val="24"/>
          <w:szCs w:val="24"/>
          <w:lang w:val="en-US"/>
        </w:rPr>
      </w:pPr>
    </w:p>
    <w:p w14:paraId="2D0D3F56" w14:textId="77777777" w:rsidR="003B7FBE" w:rsidRPr="00AE3682" w:rsidRDefault="00AE3682">
      <w:pPr>
        <w:jc w:val="both"/>
        <w:rPr>
          <w:rFonts w:ascii="Times New Roman" w:eastAsia="Times New Roman" w:hAnsi="Times New Roman" w:cs="Times New Roman"/>
          <w:sz w:val="24"/>
          <w:szCs w:val="24"/>
          <w:lang w:val="en-US"/>
        </w:rPr>
      </w:pPr>
      <w:r w:rsidRPr="00AE3682">
        <w:rPr>
          <w:rFonts w:ascii="Times New Roman" w:eastAsia="Times New Roman" w:hAnsi="Times New Roman" w:cs="Times New Roman"/>
          <w:sz w:val="24"/>
          <w:szCs w:val="24"/>
          <w:lang w:val="en-US"/>
        </w:rPr>
        <w:t xml:space="preserve">ALMEIDA, Rita; PACKARD, Truman. </w:t>
      </w:r>
      <w:r w:rsidRPr="00AE3682">
        <w:rPr>
          <w:rFonts w:ascii="Times New Roman" w:eastAsia="Times New Roman" w:hAnsi="Times New Roman" w:cs="Times New Roman"/>
          <w:b/>
          <w:sz w:val="24"/>
          <w:szCs w:val="24"/>
          <w:lang w:val="en-US"/>
        </w:rPr>
        <w:t>Skills and Jobs in Brazil: An Agenda for Youth</w:t>
      </w:r>
      <w:r w:rsidRPr="00AE3682">
        <w:rPr>
          <w:rFonts w:ascii="Times New Roman" w:eastAsia="Times New Roman" w:hAnsi="Times New Roman" w:cs="Times New Roman"/>
          <w:sz w:val="24"/>
          <w:szCs w:val="24"/>
          <w:lang w:val="en-US"/>
        </w:rPr>
        <w:t>. The World Bank. 2018. DOI: 10.1596/978-1-4648-1293-4.</w:t>
      </w:r>
    </w:p>
    <w:p w14:paraId="2D0D3F57" w14:textId="77777777" w:rsidR="003B7FBE" w:rsidRPr="00AE3682" w:rsidRDefault="003B7FBE">
      <w:pPr>
        <w:jc w:val="both"/>
        <w:rPr>
          <w:rFonts w:ascii="Times New Roman" w:eastAsia="Times New Roman" w:hAnsi="Times New Roman" w:cs="Times New Roman"/>
          <w:sz w:val="24"/>
          <w:szCs w:val="24"/>
          <w:lang w:val="en-US"/>
        </w:rPr>
      </w:pPr>
    </w:p>
    <w:p w14:paraId="2D0D3F58" w14:textId="77777777" w:rsidR="003B7FBE" w:rsidRPr="009071E9"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ANDRADE, Marcela Alves; MORIGUCHI DE CASTRO, Cristiane Shinohara; MININEL, Vivian Aline; et al. Age and schooling are associated with job loss in the initial months of the COVID-19 pandemic in Brazil. </w:t>
      </w:r>
      <w:proofErr w:type="spellStart"/>
      <w:r w:rsidRPr="009071E9">
        <w:rPr>
          <w:rFonts w:ascii="Times New Roman" w:eastAsia="Times New Roman" w:hAnsi="Times New Roman" w:cs="Times New Roman"/>
          <w:b/>
          <w:sz w:val="24"/>
          <w:szCs w:val="24"/>
        </w:rPr>
        <w:t>Research</w:t>
      </w:r>
      <w:proofErr w:type="spellEnd"/>
      <w:r w:rsidRPr="009071E9">
        <w:rPr>
          <w:rFonts w:ascii="Times New Roman" w:eastAsia="Times New Roman" w:hAnsi="Times New Roman" w:cs="Times New Roman"/>
          <w:b/>
          <w:sz w:val="24"/>
          <w:szCs w:val="24"/>
        </w:rPr>
        <w:t xml:space="preserve">, Society and </w:t>
      </w:r>
      <w:proofErr w:type="spellStart"/>
      <w:r w:rsidRPr="009071E9">
        <w:rPr>
          <w:rFonts w:ascii="Times New Roman" w:eastAsia="Times New Roman" w:hAnsi="Times New Roman" w:cs="Times New Roman"/>
          <w:b/>
          <w:sz w:val="24"/>
          <w:szCs w:val="24"/>
        </w:rPr>
        <w:t>Development</w:t>
      </w:r>
      <w:proofErr w:type="spellEnd"/>
      <w:r w:rsidRPr="009071E9">
        <w:rPr>
          <w:rFonts w:ascii="Times New Roman" w:eastAsia="Times New Roman" w:hAnsi="Times New Roman" w:cs="Times New Roman"/>
          <w:sz w:val="24"/>
          <w:szCs w:val="24"/>
        </w:rPr>
        <w:t>, 2024.</w:t>
      </w:r>
    </w:p>
    <w:p w14:paraId="2D0D3F59" w14:textId="77777777" w:rsidR="003B7FBE" w:rsidRPr="009071E9" w:rsidRDefault="003B7FBE">
      <w:pPr>
        <w:jc w:val="both"/>
        <w:rPr>
          <w:rFonts w:ascii="Times New Roman" w:eastAsia="Times New Roman" w:hAnsi="Times New Roman" w:cs="Times New Roman"/>
          <w:sz w:val="24"/>
          <w:szCs w:val="24"/>
        </w:rPr>
      </w:pPr>
    </w:p>
    <w:p w14:paraId="2D0D3F5A"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BANCO CENTRAL DO BRASIL. Evolução do Seguro-desemprego no Brasil: uma simulação de Cadeia de Markov. </w:t>
      </w:r>
      <w:r>
        <w:rPr>
          <w:rFonts w:ascii="Times New Roman" w:eastAsia="Times New Roman" w:hAnsi="Times New Roman" w:cs="Times New Roman"/>
          <w:b/>
          <w:sz w:val="24"/>
          <w:szCs w:val="24"/>
        </w:rPr>
        <w:t>Relatório de Inflação</w:t>
      </w:r>
      <w:r>
        <w:rPr>
          <w:rFonts w:ascii="Times New Roman" w:eastAsia="Times New Roman" w:hAnsi="Times New Roman" w:cs="Times New Roman"/>
          <w:sz w:val="24"/>
          <w:szCs w:val="24"/>
        </w:rPr>
        <w:t>, Brasília, v. 15, n. 4, p. 41-46, dez. 2013. Disponível em: https://www.bcb.gov.br/content/ri/relatorioinflacao/201312/RELINF201312-ri201312b2p.pdf. Acesso em: 24 fev. 2025.</w:t>
      </w:r>
    </w:p>
    <w:p w14:paraId="2D0D3F5B" w14:textId="77777777" w:rsidR="003B7FBE" w:rsidRDefault="003B7FBE">
      <w:pPr>
        <w:jc w:val="both"/>
        <w:rPr>
          <w:rFonts w:ascii="Times New Roman" w:eastAsia="Times New Roman" w:hAnsi="Times New Roman" w:cs="Times New Roman"/>
          <w:sz w:val="24"/>
          <w:szCs w:val="24"/>
        </w:rPr>
      </w:pPr>
    </w:p>
    <w:p w14:paraId="2D0D3F5C"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BHATIA, A. et al. The Epidemiology of Young People’s Work and Experiences of Violence in Nine Countries: Evidence from the Violence against Children Surveys. </w:t>
      </w:r>
      <w:r w:rsidRPr="00AE3682">
        <w:rPr>
          <w:rFonts w:ascii="Times New Roman" w:eastAsia="Times New Roman" w:hAnsi="Times New Roman" w:cs="Times New Roman"/>
          <w:b/>
          <w:sz w:val="24"/>
          <w:szCs w:val="24"/>
          <w:lang w:val="en-US"/>
        </w:rPr>
        <w:t>International Journal of Environmental Research and Public Health</w:t>
      </w:r>
      <w:r w:rsidRPr="00AE3682">
        <w:rPr>
          <w:rFonts w:ascii="Times New Roman" w:eastAsia="Times New Roman" w:hAnsi="Times New Roman" w:cs="Times New Roman"/>
          <w:sz w:val="24"/>
          <w:szCs w:val="24"/>
          <w:lang w:val="en-US"/>
        </w:rPr>
        <w:t xml:space="preserve">, v. 19, n. 24, p. 16936, 1 jan. 2022. </w:t>
      </w:r>
      <w:r>
        <w:rPr>
          <w:rFonts w:ascii="Times New Roman" w:eastAsia="Times New Roman" w:hAnsi="Times New Roman" w:cs="Times New Roman"/>
          <w:sz w:val="24"/>
          <w:szCs w:val="24"/>
        </w:rPr>
        <w:t>DOI: 10.3390/ijerph192416936. Disponível em: https://www.mdpi.com/1660-4601/19/24/16936. Acesso em: 11 mar. 2024.</w:t>
      </w:r>
    </w:p>
    <w:p w14:paraId="2D0D3F5D" w14:textId="77777777" w:rsidR="003B7FBE" w:rsidRDefault="003B7FBE">
      <w:pPr>
        <w:jc w:val="both"/>
        <w:rPr>
          <w:rFonts w:ascii="Times New Roman" w:eastAsia="Times New Roman" w:hAnsi="Times New Roman" w:cs="Times New Roman"/>
          <w:sz w:val="24"/>
          <w:szCs w:val="24"/>
        </w:rPr>
      </w:pPr>
    </w:p>
    <w:p w14:paraId="2D0D3F5E"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CAMARGO, Veridiana Pires de; TESSMANN, Mathias </w:t>
      </w:r>
      <w:proofErr w:type="spellStart"/>
      <w:r>
        <w:rPr>
          <w:rFonts w:ascii="Times New Roman" w:eastAsia="Times New Roman" w:hAnsi="Times New Roman" w:cs="Times New Roman"/>
          <w:sz w:val="24"/>
          <w:szCs w:val="24"/>
        </w:rPr>
        <w:t>Schneid</w:t>
      </w:r>
      <w:proofErr w:type="spellEnd"/>
      <w:r>
        <w:rPr>
          <w:rFonts w:ascii="Times New Roman" w:eastAsia="Times New Roman" w:hAnsi="Times New Roman" w:cs="Times New Roman"/>
          <w:sz w:val="24"/>
          <w:szCs w:val="24"/>
        </w:rPr>
        <w:t xml:space="preserve">. </w:t>
      </w:r>
      <w:r w:rsidRPr="00AE3682">
        <w:rPr>
          <w:rFonts w:ascii="Times New Roman" w:eastAsia="Times New Roman" w:hAnsi="Times New Roman" w:cs="Times New Roman"/>
          <w:sz w:val="24"/>
          <w:szCs w:val="24"/>
          <w:lang w:val="en-US"/>
        </w:rPr>
        <w:t xml:space="preserve">Heterogeneous impacts of covid-19 on youth employment: a study for brazilian regions. </w:t>
      </w:r>
      <w:r>
        <w:rPr>
          <w:rFonts w:ascii="Times New Roman" w:eastAsia="Times New Roman" w:hAnsi="Times New Roman" w:cs="Times New Roman"/>
          <w:b/>
          <w:sz w:val="24"/>
          <w:szCs w:val="24"/>
        </w:rPr>
        <w:t>JOURNAL OF QUANTITATIVE FINANCE AND ECONOMICS</w:t>
      </w:r>
      <w:r>
        <w:rPr>
          <w:rFonts w:ascii="Times New Roman" w:eastAsia="Times New Roman" w:hAnsi="Times New Roman" w:cs="Times New Roman"/>
          <w:sz w:val="24"/>
          <w:szCs w:val="24"/>
        </w:rPr>
        <w:t>, v. 5, n. 1, p. 159–183, 2023.</w:t>
      </w:r>
    </w:p>
    <w:p w14:paraId="2D0D3F5F" w14:textId="77777777" w:rsidR="003B7FBE" w:rsidRDefault="003B7FBE">
      <w:pPr>
        <w:jc w:val="both"/>
        <w:rPr>
          <w:rFonts w:ascii="Times New Roman" w:eastAsia="Times New Roman" w:hAnsi="Times New Roman" w:cs="Times New Roman"/>
          <w:sz w:val="24"/>
          <w:szCs w:val="24"/>
        </w:rPr>
      </w:pPr>
    </w:p>
    <w:p w14:paraId="2D0D3F60"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CORSEUIL, Carlos Henrique Leite; FRANCA, Maíra Penna; POLOPONSKY, </w:t>
      </w:r>
      <w:proofErr w:type="spellStart"/>
      <w:r>
        <w:rPr>
          <w:rFonts w:ascii="Times New Roman" w:eastAsia="Times New Roman" w:hAnsi="Times New Roman" w:cs="Times New Roman"/>
          <w:sz w:val="24"/>
          <w:szCs w:val="24"/>
        </w:rPr>
        <w:t>Katcha</w:t>
      </w:r>
      <w:proofErr w:type="spellEnd"/>
      <w:r>
        <w:rPr>
          <w:rFonts w:ascii="Times New Roman" w:eastAsia="Times New Roman" w:hAnsi="Times New Roman" w:cs="Times New Roman"/>
          <w:sz w:val="24"/>
          <w:szCs w:val="24"/>
        </w:rPr>
        <w:t xml:space="preserve">. A Inserção dos Jovens Brasileiros no Mercado de Trabalho num Contexto de Recessão. </w:t>
      </w:r>
      <w:r>
        <w:rPr>
          <w:rFonts w:ascii="Times New Roman" w:eastAsia="Times New Roman" w:hAnsi="Times New Roman" w:cs="Times New Roman"/>
          <w:b/>
          <w:sz w:val="24"/>
          <w:szCs w:val="24"/>
        </w:rPr>
        <w:t>Novos estudos CEBRAP</w:t>
      </w:r>
      <w:r>
        <w:rPr>
          <w:rFonts w:ascii="Times New Roman" w:eastAsia="Times New Roman" w:hAnsi="Times New Roman" w:cs="Times New Roman"/>
          <w:sz w:val="24"/>
          <w:szCs w:val="24"/>
        </w:rPr>
        <w:t xml:space="preserve">. 2020, v. 39, n. 3 [Acessado 26 </w:t>
      </w:r>
      <w:proofErr w:type="gramStart"/>
      <w:r>
        <w:rPr>
          <w:rFonts w:ascii="Times New Roman" w:eastAsia="Times New Roman" w:hAnsi="Times New Roman" w:cs="Times New Roman"/>
          <w:sz w:val="24"/>
          <w:szCs w:val="24"/>
        </w:rPr>
        <w:t>Março</w:t>
      </w:r>
      <w:proofErr w:type="gramEnd"/>
      <w:r>
        <w:rPr>
          <w:rFonts w:ascii="Times New Roman" w:eastAsia="Times New Roman" w:hAnsi="Times New Roman" w:cs="Times New Roman"/>
          <w:sz w:val="24"/>
          <w:szCs w:val="24"/>
        </w:rPr>
        <w:t xml:space="preserve"> 2024], pp. 501-520. Disponível em: &lt;</w:t>
      </w:r>
      <w:hyperlink r:id="rId8">
        <w:r>
          <w:rPr>
            <w:rFonts w:ascii="Times New Roman" w:eastAsia="Times New Roman" w:hAnsi="Times New Roman" w:cs="Times New Roman"/>
            <w:color w:val="1155CC"/>
            <w:sz w:val="24"/>
            <w:szCs w:val="24"/>
            <w:u w:val="single"/>
          </w:rPr>
          <w:t>https://doi.org/10.25091/s01013300202000030003</w:t>
        </w:r>
      </w:hyperlink>
      <w:r>
        <w:rPr>
          <w:rFonts w:ascii="Times New Roman" w:eastAsia="Times New Roman" w:hAnsi="Times New Roman" w:cs="Times New Roman"/>
          <w:sz w:val="24"/>
          <w:szCs w:val="24"/>
        </w:rPr>
        <w:t>&gt;.</w:t>
      </w:r>
    </w:p>
    <w:p w14:paraId="2D0D3F61" w14:textId="77777777" w:rsidR="003B7FBE" w:rsidRDefault="003B7FBE">
      <w:pPr>
        <w:jc w:val="both"/>
        <w:rPr>
          <w:rFonts w:ascii="Times New Roman" w:eastAsia="Times New Roman" w:hAnsi="Times New Roman" w:cs="Times New Roman"/>
          <w:sz w:val="24"/>
          <w:szCs w:val="24"/>
        </w:rPr>
      </w:pPr>
    </w:p>
    <w:p w14:paraId="2D0D3F62"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CORSEUIL, Carlos Henrique Leite; FOGUEL, Miguel; GONZAGA, Gustavo; RIBEIRO; Eduardo Pontual. </w:t>
      </w:r>
      <w:r w:rsidRPr="00AE3682">
        <w:rPr>
          <w:rFonts w:ascii="Times New Roman" w:eastAsia="Times New Roman" w:hAnsi="Times New Roman" w:cs="Times New Roman"/>
          <w:b/>
          <w:sz w:val="24"/>
          <w:szCs w:val="24"/>
          <w:lang w:val="en-US"/>
        </w:rPr>
        <w:t>Youth Turnover in Brazil: Job and Worker Flows and an Evaluation of a Youth-Targeted Training Program</w:t>
      </w:r>
      <w:r w:rsidRPr="00AE3682">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xml:space="preserve">CEDLAS </w:t>
      </w:r>
      <w:proofErr w:type="spellStart"/>
      <w:r>
        <w:rPr>
          <w:rFonts w:ascii="Times New Roman" w:eastAsia="Times New Roman" w:hAnsi="Times New Roman" w:cs="Times New Roman"/>
          <w:sz w:val="24"/>
          <w:szCs w:val="24"/>
        </w:rPr>
        <w:t>Working</w:t>
      </w:r>
      <w:proofErr w:type="spellEnd"/>
      <w:r>
        <w:rPr>
          <w:rFonts w:ascii="Times New Roman" w:eastAsia="Times New Roman" w:hAnsi="Times New Roman" w:cs="Times New Roman"/>
          <w:sz w:val="24"/>
          <w:szCs w:val="24"/>
        </w:rPr>
        <w:t xml:space="preserve"> Papers. 2014. Disponível em: https://ideas.repec.org/p/dls/wpaper/0155.html. Acesso em: 11 mar. 2024.</w:t>
      </w:r>
    </w:p>
    <w:p w14:paraId="2D0D3F63" w14:textId="77777777" w:rsidR="003B7FBE" w:rsidRDefault="003B7FBE">
      <w:pPr>
        <w:jc w:val="both"/>
        <w:rPr>
          <w:rFonts w:ascii="Times New Roman" w:eastAsia="Times New Roman" w:hAnsi="Times New Roman" w:cs="Times New Roman"/>
          <w:sz w:val="24"/>
          <w:szCs w:val="24"/>
        </w:rPr>
      </w:pPr>
    </w:p>
    <w:p w14:paraId="2D0D3F64"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 SILVA FILHO, L. A.; FERREIRA DA SILVA, F. J.; NUNES DE QUEIROZ, S. </w:t>
      </w:r>
      <w:proofErr w:type="spellStart"/>
      <w:r>
        <w:rPr>
          <w:rFonts w:ascii="Times New Roman" w:eastAsia="Times New Roman" w:hAnsi="Times New Roman" w:cs="Times New Roman"/>
          <w:sz w:val="24"/>
          <w:szCs w:val="24"/>
        </w:rPr>
        <w:t>Jóvenes</w:t>
      </w:r>
      <w:proofErr w:type="spellEnd"/>
      <w:r>
        <w:rPr>
          <w:rFonts w:ascii="Times New Roman" w:eastAsia="Times New Roman" w:hAnsi="Times New Roman" w:cs="Times New Roman"/>
          <w:sz w:val="24"/>
          <w:szCs w:val="24"/>
        </w:rPr>
        <w:t xml:space="preserve"> en </w:t>
      </w:r>
      <w:proofErr w:type="spellStart"/>
      <w:r>
        <w:rPr>
          <w:rFonts w:ascii="Times New Roman" w:eastAsia="Times New Roman" w:hAnsi="Times New Roman" w:cs="Times New Roman"/>
          <w:sz w:val="24"/>
          <w:szCs w:val="24"/>
        </w:rPr>
        <w:t>el</w:t>
      </w:r>
      <w:proofErr w:type="spellEnd"/>
      <w:r>
        <w:rPr>
          <w:rFonts w:ascii="Times New Roman" w:eastAsia="Times New Roman" w:hAnsi="Times New Roman" w:cs="Times New Roman"/>
          <w:sz w:val="24"/>
          <w:szCs w:val="24"/>
        </w:rPr>
        <w:t xml:space="preserve"> mercado de </w:t>
      </w:r>
      <w:proofErr w:type="spellStart"/>
      <w:r>
        <w:rPr>
          <w:rFonts w:ascii="Times New Roman" w:eastAsia="Times New Roman" w:hAnsi="Times New Roman" w:cs="Times New Roman"/>
          <w:sz w:val="24"/>
          <w:szCs w:val="24"/>
        </w:rPr>
        <w:t>trabajo</w:t>
      </w:r>
      <w:proofErr w:type="spellEnd"/>
      <w:r>
        <w:rPr>
          <w:rFonts w:ascii="Times New Roman" w:eastAsia="Times New Roman" w:hAnsi="Times New Roman" w:cs="Times New Roman"/>
          <w:sz w:val="24"/>
          <w:szCs w:val="24"/>
        </w:rPr>
        <w:t xml:space="preserve"> formal </w:t>
      </w:r>
      <w:proofErr w:type="spellStart"/>
      <w:r>
        <w:rPr>
          <w:rFonts w:ascii="Times New Roman" w:eastAsia="Times New Roman" w:hAnsi="Times New Roman" w:cs="Times New Roman"/>
          <w:sz w:val="24"/>
          <w:szCs w:val="24"/>
        </w:rPr>
        <w:t>brasileño</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un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análisis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cuantitativo</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b/>
          <w:sz w:val="24"/>
          <w:szCs w:val="24"/>
        </w:rPr>
        <w:t xml:space="preserve">Revista </w:t>
      </w:r>
      <w:proofErr w:type="spellStart"/>
      <w:r>
        <w:rPr>
          <w:rFonts w:ascii="Times New Roman" w:eastAsia="Times New Roman" w:hAnsi="Times New Roman" w:cs="Times New Roman"/>
          <w:b/>
          <w:sz w:val="24"/>
          <w:szCs w:val="24"/>
        </w:rPr>
        <w:t>Facultad</w:t>
      </w:r>
      <w:proofErr w:type="spellEnd"/>
      <w:r>
        <w:rPr>
          <w:rFonts w:ascii="Times New Roman" w:eastAsia="Times New Roman" w:hAnsi="Times New Roman" w:cs="Times New Roman"/>
          <w:b/>
          <w:sz w:val="24"/>
          <w:szCs w:val="24"/>
        </w:rPr>
        <w:t xml:space="preserve"> de </w:t>
      </w:r>
      <w:proofErr w:type="spellStart"/>
      <w:r>
        <w:rPr>
          <w:rFonts w:ascii="Times New Roman" w:eastAsia="Times New Roman" w:hAnsi="Times New Roman" w:cs="Times New Roman"/>
          <w:b/>
          <w:sz w:val="24"/>
          <w:szCs w:val="24"/>
        </w:rPr>
        <w:t>Ciencias</w:t>
      </w:r>
      <w:proofErr w:type="spellEnd"/>
      <w:r>
        <w:rPr>
          <w:rFonts w:ascii="Times New Roman" w:eastAsia="Times New Roman" w:hAnsi="Times New Roman" w:cs="Times New Roman"/>
          <w:b/>
          <w:sz w:val="24"/>
          <w:szCs w:val="24"/>
        </w:rPr>
        <w:t xml:space="preserve"> Económicas</w:t>
      </w:r>
      <w:r>
        <w:rPr>
          <w:rFonts w:ascii="Times New Roman" w:eastAsia="Times New Roman" w:hAnsi="Times New Roman" w:cs="Times New Roman"/>
          <w:sz w:val="24"/>
          <w:szCs w:val="24"/>
        </w:rPr>
        <w:t>, [S. l.], v. 23, n. 2, p. 21–34, 2015. DOI: 10.18359/rfce.1605. Disponível em: https://revistas.unimilitar.edu.co/index.php/rfce/article/view/1605. Acesso em: 11 mar. 2024.</w:t>
      </w:r>
    </w:p>
    <w:p w14:paraId="2D0D3F65" w14:textId="77777777" w:rsidR="003B7FBE" w:rsidRDefault="003B7FBE">
      <w:pPr>
        <w:jc w:val="both"/>
        <w:rPr>
          <w:rFonts w:ascii="Times New Roman" w:eastAsia="Times New Roman" w:hAnsi="Times New Roman" w:cs="Times New Roman"/>
          <w:sz w:val="24"/>
          <w:szCs w:val="24"/>
        </w:rPr>
      </w:pPr>
    </w:p>
    <w:p w14:paraId="2D0D3F66"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FEIJÓ, Janaína; PERUCHETTI, Paulo. </w:t>
      </w:r>
      <w:r>
        <w:rPr>
          <w:rFonts w:ascii="Times New Roman" w:eastAsia="Times New Roman" w:hAnsi="Times New Roman" w:cs="Times New Roman"/>
          <w:b/>
          <w:sz w:val="24"/>
          <w:szCs w:val="24"/>
        </w:rPr>
        <w:t>Performance dos jovens no mercado de trabalho</w:t>
      </w:r>
      <w:r>
        <w:rPr>
          <w:rFonts w:ascii="Times New Roman" w:eastAsia="Times New Roman" w:hAnsi="Times New Roman" w:cs="Times New Roman"/>
          <w:sz w:val="24"/>
          <w:szCs w:val="24"/>
        </w:rPr>
        <w:t>. In: FGV IBRE. Blog do IBRE. São Paulo, 26 jul. 2024. Disponível em: https://blogdoibre.fgv.br/posts/performance-dos-jovens-no-mercado-de-trabalho. Acesso em: 17 fev. 2025.</w:t>
      </w:r>
    </w:p>
    <w:p w14:paraId="2D0D3F67" w14:textId="77777777" w:rsidR="003B7FBE" w:rsidRDefault="003B7FBE">
      <w:pPr>
        <w:jc w:val="both"/>
        <w:rPr>
          <w:rFonts w:ascii="Times New Roman" w:eastAsia="Times New Roman" w:hAnsi="Times New Roman" w:cs="Times New Roman"/>
          <w:sz w:val="24"/>
          <w:szCs w:val="24"/>
        </w:rPr>
      </w:pPr>
    </w:p>
    <w:p w14:paraId="2D0D3F68"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FILHO, P. R. F. O desemprego dos jovens e as políticas públicas no Brasil pós 1990. </w:t>
      </w:r>
      <w:r>
        <w:rPr>
          <w:rFonts w:ascii="Times New Roman" w:eastAsia="Times New Roman" w:hAnsi="Times New Roman" w:cs="Times New Roman"/>
          <w:b/>
          <w:sz w:val="24"/>
          <w:szCs w:val="24"/>
        </w:rPr>
        <w:t xml:space="preserve">Revista </w:t>
      </w:r>
      <w:proofErr w:type="spellStart"/>
      <w:r>
        <w:rPr>
          <w:rFonts w:ascii="Times New Roman" w:eastAsia="Times New Roman" w:hAnsi="Times New Roman" w:cs="Times New Roman"/>
          <w:b/>
          <w:sz w:val="24"/>
          <w:szCs w:val="24"/>
        </w:rPr>
        <w:t>Norus</w:t>
      </w:r>
      <w:proofErr w:type="spellEnd"/>
      <w:r>
        <w:rPr>
          <w:rFonts w:ascii="Times New Roman" w:eastAsia="Times New Roman" w:hAnsi="Times New Roman" w:cs="Times New Roman"/>
          <w:sz w:val="24"/>
          <w:szCs w:val="24"/>
        </w:rPr>
        <w:t>, v. 8, n. 14, p. 116-134, 2020. DOI: 10.15210/norus.v8i14.20035. Disponível em: https://periodicos.ufpel.edu.br/index.php/NORUS/article/view/20035. Acesso em: 11 mar. 2024.</w:t>
      </w:r>
    </w:p>
    <w:p w14:paraId="2D0D3F69" w14:textId="77777777" w:rsidR="003B7FBE" w:rsidRDefault="003B7FBE">
      <w:pPr>
        <w:jc w:val="both"/>
        <w:rPr>
          <w:rFonts w:ascii="Times New Roman" w:eastAsia="Times New Roman" w:hAnsi="Times New Roman" w:cs="Times New Roman"/>
          <w:sz w:val="24"/>
          <w:szCs w:val="24"/>
        </w:rPr>
      </w:pPr>
    </w:p>
    <w:p w14:paraId="2D0D3F6A"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GUIMARÃES, Jairo de Carvalho; MENDES, Karine </w:t>
      </w:r>
      <w:proofErr w:type="spellStart"/>
      <w:r>
        <w:rPr>
          <w:rFonts w:ascii="Times New Roman" w:eastAsia="Times New Roman" w:hAnsi="Times New Roman" w:cs="Times New Roman"/>
          <w:sz w:val="24"/>
          <w:szCs w:val="24"/>
        </w:rPr>
        <w:t>Késsia</w:t>
      </w:r>
      <w:proofErr w:type="spellEnd"/>
      <w:r>
        <w:rPr>
          <w:rFonts w:ascii="Times New Roman" w:eastAsia="Times New Roman" w:hAnsi="Times New Roman" w:cs="Times New Roman"/>
          <w:sz w:val="24"/>
          <w:szCs w:val="24"/>
        </w:rPr>
        <w:t xml:space="preserve"> de Sousa Félix. </w:t>
      </w:r>
      <w:r>
        <w:rPr>
          <w:rFonts w:ascii="Times New Roman" w:eastAsia="Times New Roman" w:hAnsi="Times New Roman" w:cs="Times New Roman"/>
          <w:b/>
          <w:sz w:val="24"/>
          <w:szCs w:val="24"/>
        </w:rPr>
        <w:t>Precarização do trabalho e juventude: uma análise sobre a realidade laboral face à pandemia da covid-19</w:t>
      </w:r>
      <w:r>
        <w:rPr>
          <w:rFonts w:ascii="Times New Roman" w:eastAsia="Times New Roman" w:hAnsi="Times New Roman" w:cs="Times New Roman"/>
          <w:sz w:val="24"/>
          <w:szCs w:val="24"/>
        </w:rPr>
        <w:t xml:space="preserve">. O Social em Questão, v. 4, n. 53, 2022. Disponível em: </w:t>
      </w:r>
      <w:hyperlink r:id="rId9">
        <w:r>
          <w:rPr>
            <w:rFonts w:ascii="Times New Roman" w:eastAsia="Times New Roman" w:hAnsi="Times New Roman" w:cs="Times New Roman"/>
            <w:color w:val="1155CC"/>
            <w:sz w:val="24"/>
            <w:szCs w:val="24"/>
            <w:u w:val="single"/>
          </w:rPr>
          <w:t>https://doi.org/10.17771/pucrio.osq.58558</w:t>
        </w:r>
      </w:hyperlink>
      <w:r>
        <w:rPr>
          <w:rFonts w:ascii="Times New Roman" w:eastAsia="Times New Roman" w:hAnsi="Times New Roman" w:cs="Times New Roman"/>
          <w:sz w:val="24"/>
          <w:szCs w:val="24"/>
        </w:rPr>
        <w:t>.</w:t>
      </w:r>
    </w:p>
    <w:p w14:paraId="2D0D3F6B" w14:textId="77777777" w:rsidR="003B7FBE" w:rsidRDefault="003B7FBE">
      <w:pPr>
        <w:jc w:val="both"/>
        <w:rPr>
          <w:rFonts w:ascii="Times New Roman" w:eastAsia="Times New Roman" w:hAnsi="Times New Roman" w:cs="Times New Roman"/>
          <w:sz w:val="24"/>
          <w:szCs w:val="24"/>
        </w:rPr>
      </w:pPr>
    </w:p>
    <w:p w14:paraId="2D0D3F6C"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JAVARONI, Ana Flávia Merchan Ferraz; LEHFELD, Neide Aparecida de Souza. </w:t>
      </w:r>
      <w:r w:rsidRPr="00AE3682">
        <w:rPr>
          <w:rFonts w:ascii="Times New Roman" w:eastAsia="Times New Roman" w:hAnsi="Times New Roman" w:cs="Times New Roman"/>
          <w:b/>
          <w:sz w:val="24"/>
          <w:szCs w:val="24"/>
          <w:lang w:val="en-US"/>
        </w:rPr>
        <w:t>Education, pandemic and youth in Brazil</w:t>
      </w:r>
      <w:r w:rsidRPr="00AE3682">
        <w:rPr>
          <w:rFonts w:ascii="Times New Roman" w:eastAsia="Times New Roman" w:hAnsi="Times New Roman" w:cs="Times New Roman"/>
          <w:sz w:val="24"/>
          <w:szCs w:val="24"/>
          <w:lang w:val="en-US"/>
        </w:rPr>
        <w:t xml:space="preserve">. In: [s.l.]: Seven Editora, 2023. </w:t>
      </w:r>
      <w:r>
        <w:rPr>
          <w:rFonts w:ascii="Times New Roman" w:eastAsia="Times New Roman" w:hAnsi="Times New Roman" w:cs="Times New Roman"/>
          <w:sz w:val="24"/>
          <w:szCs w:val="24"/>
        </w:rPr>
        <w:t>Disponível em: &lt;https://sevenpublicacoes.com.br/index.php/editora/article/download/2242/3147&gt;.</w:t>
      </w:r>
    </w:p>
    <w:p w14:paraId="2D0D3F6D" w14:textId="77777777" w:rsidR="003B7FBE" w:rsidRDefault="003B7FBE">
      <w:pPr>
        <w:jc w:val="both"/>
        <w:rPr>
          <w:rFonts w:ascii="Times New Roman" w:eastAsia="Times New Roman" w:hAnsi="Times New Roman" w:cs="Times New Roman"/>
          <w:sz w:val="24"/>
          <w:szCs w:val="24"/>
        </w:rPr>
      </w:pPr>
    </w:p>
    <w:p w14:paraId="2D0D3F6E" w14:textId="77777777" w:rsidR="003B7FBE" w:rsidRPr="00AE3682" w:rsidRDefault="00AE3682">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MACIEL, Lucas Pires; ROSSIGNOLI, Marisa. A regulação estatal para incentivar o primeiro emprego dos jovens no Brasil: elementos para o desenvolvimento econômico. </w:t>
      </w:r>
      <w:r>
        <w:rPr>
          <w:rFonts w:ascii="Times New Roman" w:eastAsia="Times New Roman" w:hAnsi="Times New Roman" w:cs="Times New Roman"/>
          <w:b/>
          <w:sz w:val="24"/>
          <w:szCs w:val="24"/>
        </w:rPr>
        <w:t>Direito e Desenvolvimento</w:t>
      </w:r>
      <w:r>
        <w:rPr>
          <w:rFonts w:ascii="Times New Roman" w:eastAsia="Times New Roman" w:hAnsi="Times New Roman" w:cs="Times New Roman"/>
          <w:sz w:val="24"/>
          <w:szCs w:val="24"/>
        </w:rPr>
        <w:t xml:space="preserve">, [S. l.], v. 10, n. 2, p. 141–156, 2019. DOI: 10.26843/direitoedesenvolvimento.v10i2.1048. Disponível em: https://periodicos.unipe.br/index.php/direitoedesenvolvimento/article/view/1048. </w:t>
      </w:r>
      <w:r w:rsidRPr="00AE3682">
        <w:rPr>
          <w:rFonts w:ascii="Times New Roman" w:eastAsia="Times New Roman" w:hAnsi="Times New Roman" w:cs="Times New Roman"/>
          <w:sz w:val="24"/>
          <w:szCs w:val="24"/>
          <w:lang w:val="en-US"/>
        </w:rPr>
        <w:t>Acesso em: 11 mar. 2024.</w:t>
      </w:r>
    </w:p>
    <w:p w14:paraId="2D0D3F6F" w14:textId="77777777" w:rsidR="003B7FBE" w:rsidRPr="00AE3682" w:rsidRDefault="003B7FBE">
      <w:pPr>
        <w:jc w:val="both"/>
        <w:rPr>
          <w:rFonts w:ascii="Times New Roman" w:eastAsia="Times New Roman" w:hAnsi="Times New Roman" w:cs="Times New Roman"/>
          <w:sz w:val="24"/>
          <w:szCs w:val="24"/>
          <w:lang w:val="en-US"/>
        </w:rPr>
      </w:pPr>
    </w:p>
    <w:p w14:paraId="2D0D3F70" w14:textId="77777777" w:rsidR="003B7FBE" w:rsidRPr="00AE3682" w:rsidRDefault="00AE3682">
      <w:pPr>
        <w:jc w:val="both"/>
        <w:rPr>
          <w:rFonts w:ascii="Times New Roman" w:eastAsia="Times New Roman" w:hAnsi="Times New Roman" w:cs="Times New Roman"/>
          <w:sz w:val="24"/>
          <w:szCs w:val="24"/>
          <w:lang w:val="en-US"/>
        </w:rPr>
      </w:pPr>
      <w:r w:rsidRPr="00AE3682">
        <w:rPr>
          <w:rFonts w:ascii="Times New Roman" w:eastAsia="Times New Roman" w:hAnsi="Times New Roman" w:cs="Times New Roman"/>
          <w:sz w:val="24"/>
          <w:szCs w:val="24"/>
          <w:lang w:val="en-US"/>
        </w:rPr>
        <w:t xml:space="preserve">OLIVEIRA, Gilson de; RAIHER, Augusta Pelinski. The inclusion of poor youth in the Brazilian labour market and the impact of the Bolsa Família programme. </w:t>
      </w:r>
      <w:r>
        <w:rPr>
          <w:rFonts w:ascii="Times New Roman" w:eastAsia="Times New Roman" w:hAnsi="Times New Roman" w:cs="Times New Roman"/>
          <w:b/>
          <w:sz w:val="24"/>
          <w:szCs w:val="24"/>
        </w:rPr>
        <w:t>CEPAL Review</w:t>
      </w:r>
      <w:r>
        <w:rPr>
          <w:rFonts w:ascii="Times New Roman" w:eastAsia="Times New Roman" w:hAnsi="Times New Roman" w:cs="Times New Roman"/>
          <w:sz w:val="24"/>
          <w:szCs w:val="24"/>
        </w:rPr>
        <w:t xml:space="preserve">, v. 2021, n. 135, p. 163–176, 31 maio 2022. DOI: https://doi.org/10.18356/16840348-2021-135-8. Disponível em: https://www.un-ilibrary.org/content/journals/16840348/2021/135/8. </w:t>
      </w:r>
      <w:r w:rsidRPr="00AE3682">
        <w:rPr>
          <w:rFonts w:ascii="Times New Roman" w:eastAsia="Times New Roman" w:hAnsi="Times New Roman" w:cs="Times New Roman"/>
          <w:sz w:val="24"/>
          <w:szCs w:val="24"/>
          <w:lang w:val="en-US"/>
        </w:rPr>
        <w:t>Acesso em: 11 mar. 2024.</w:t>
      </w:r>
    </w:p>
    <w:p w14:paraId="2D0D3F71" w14:textId="77777777" w:rsidR="003B7FBE" w:rsidRPr="00AE3682" w:rsidRDefault="003B7FBE">
      <w:pPr>
        <w:jc w:val="both"/>
        <w:rPr>
          <w:rFonts w:ascii="Times New Roman" w:eastAsia="Times New Roman" w:hAnsi="Times New Roman" w:cs="Times New Roman"/>
          <w:sz w:val="24"/>
          <w:szCs w:val="24"/>
          <w:lang w:val="en-US"/>
        </w:rPr>
      </w:pPr>
    </w:p>
    <w:p w14:paraId="2D0D3F72"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n-US"/>
        </w:rPr>
        <w:t xml:space="preserve">PINHEIRO, Diógenes; RIBEIRO, Eliane; PEREGRINO, Mônica. School and work: elements to discuss youth in Brazil. </w:t>
      </w:r>
      <w:r w:rsidRPr="00AE3682">
        <w:rPr>
          <w:rFonts w:ascii="Times New Roman" w:eastAsia="Times New Roman" w:hAnsi="Times New Roman" w:cs="Times New Roman"/>
          <w:b/>
          <w:sz w:val="24"/>
          <w:szCs w:val="24"/>
          <w:lang w:val="en-US"/>
        </w:rPr>
        <w:t>Sociology International Journal</w:t>
      </w:r>
      <w:r w:rsidRPr="00AE3682">
        <w:rPr>
          <w:rFonts w:ascii="Times New Roman" w:eastAsia="Times New Roman" w:hAnsi="Times New Roman" w:cs="Times New Roman"/>
          <w:sz w:val="24"/>
          <w:szCs w:val="24"/>
          <w:lang w:val="en-US"/>
        </w:rPr>
        <w:t xml:space="preserve">, [s. l.], v. 2, ed. 5, p. 349-353, 10 set. 2018. </w:t>
      </w:r>
      <w:r>
        <w:rPr>
          <w:rFonts w:ascii="Times New Roman" w:eastAsia="Times New Roman" w:hAnsi="Times New Roman" w:cs="Times New Roman"/>
          <w:sz w:val="24"/>
          <w:szCs w:val="24"/>
        </w:rPr>
        <w:t>DOI https://doi.org/10.15406/sij.2018.02.00068. Disponível em: https://medcraveonline.com/SIJ/SIJ-02-00068.pdf. Acesso em: 11 mar. 2024.</w:t>
      </w:r>
    </w:p>
    <w:p w14:paraId="2D0D3F73" w14:textId="77777777" w:rsidR="003B7FBE" w:rsidRDefault="003B7FBE">
      <w:pPr>
        <w:jc w:val="both"/>
        <w:rPr>
          <w:rFonts w:ascii="Times New Roman" w:eastAsia="Times New Roman" w:hAnsi="Times New Roman" w:cs="Times New Roman"/>
          <w:sz w:val="24"/>
          <w:szCs w:val="24"/>
        </w:rPr>
      </w:pPr>
    </w:p>
    <w:p w14:paraId="2D0D3F74" w14:textId="77777777" w:rsidR="003B7FBE" w:rsidRDefault="00AE3682">
      <w:pPr>
        <w:jc w:val="both"/>
        <w:rPr>
          <w:rFonts w:ascii="Times New Roman" w:eastAsia="Times New Roman" w:hAnsi="Times New Roman" w:cs="Times New Roman"/>
          <w:sz w:val="24"/>
          <w:szCs w:val="24"/>
        </w:rPr>
      </w:pPr>
      <w:r w:rsidRPr="00AE3682">
        <w:rPr>
          <w:rFonts w:ascii="Times New Roman" w:eastAsia="Times New Roman" w:hAnsi="Times New Roman" w:cs="Times New Roman"/>
          <w:sz w:val="24"/>
          <w:szCs w:val="24"/>
          <w:lang w:val="es-ES_tradnl"/>
        </w:rPr>
        <w:t xml:space="preserve">SALAS, M.M.; PABLO, J. Youth. </w:t>
      </w:r>
      <w:r w:rsidRPr="00AE3682">
        <w:rPr>
          <w:rFonts w:ascii="Times New Roman" w:eastAsia="Times New Roman" w:hAnsi="Times New Roman" w:cs="Times New Roman"/>
          <w:sz w:val="24"/>
          <w:szCs w:val="24"/>
          <w:lang w:val="en-US"/>
        </w:rPr>
        <w:t xml:space="preserve">Labor Market Exclusion, and Social Violence in Central America. </w:t>
      </w:r>
      <w:r w:rsidRPr="00AE3682">
        <w:rPr>
          <w:rFonts w:ascii="Times New Roman" w:eastAsia="Times New Roman" w:hAnsi="Times New Roman" w:cs="Times New Roman"/>
          <w:b/>
          <w:sz w:val="24"/>
          <w:szCs w:val="24"/>
          <w:lang w:val="en-US"/>
        </w:rPr>
        <w:t>Perspectives on children and young people</w:t>
      </w:r>
      <w:r w:rsidRPr="00AE3682">
        <w:rPr>
          <w:rFonts w:ascii="Times New Roman" w:eastAsia="Times New Roman" w:hAnsi="Times New Roman" w:cs="Times New Roman"/>
          <w:sz w:val="24"/>
          <w:szCs w:val="24"/>
          <w:lang w:val="en-US"/>
        </w:rPr>
        <w:t xml:space="preserve">, p. 17–31, 1 jan. 2019. DOI: 10.1007/978-981-13-3750-5_2. Disponível em: https://link.springer.com/chapter/10.1007/978-981-13-3750-5_2. </w:t>
      </w:r>
      <w:r>
        <w:rPr>
          <w:rFonts w:ascii="Times New Roman" w:eastAsia="Times New Roman" w:hAnsi="Times New Roman" w:cs="Times New Roman"/>
          <w:sz w:val="24"/>
          <w:szCs w:val="24"/>
        </w:rPr>
        <w:t>Acesso em: 11 mar. 2024.</w:t>
      </w:r>
    </w:p>
    <w:p w14:paraId="2D0D3F75" w14:textId="77777777" w:rsidR="003B7FBE" w:rsidRDefault="003B7FBE">
      <w:pPr>
        <w:jc w:val="both"/>
        <w:rPr>
          <w:rFonts w:ascii="Times New Roman" w:eastAsia="Times New Roman" w:hAnsi="Times New Roman" w:cs="Times New Roman"/>
          <w:sz w:val="24"/>
          <w:szCs w:val="24"/>
        </w:rPr>
      </w:pPr>
    </w:p>
    <w:p w14:paraId="2D0D3F76" w14:textId="77777777" w:rsidR="003B7FBE" w:rsidRDefault="00AE368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SOUSA, Rodrigo Leme. Um breve comentário do mercado de trabalho do Brasil. </w:t>
      </w:r>
      <w:r w:rsidRPr="00AE3682">
        <w:rPr>
          <w:rFonts w:ascii="Times New Roman" w:eastAsia="Times New Roman" w:hAnsi="Times New Roman" w:cs="Times New Roman"/>
          <w:b/>
          <w:sz w:val="24"/>
          <w:szCs w:val="24"/>
          <w:lang w:val="es-ES_tradnl"/>
        </w:rPr>
        <w:t>Revista de Ciencias Empresariales y Sociales</w:t>
      </w:r>
      <w:r w:rsidRPr="00AE3682">
        <w:rPr>
          <w:rFonts w:ascii="Times New Roman" w:eastAsia="Times New Roman" w:hAnsi="Times New Roman" w:cs="Times New Roman"/>
          <w:sz w:val="24"/>
          <w:szCs w:val="24"/>
          <w:lang w:val="es-ES_tradnl"/>
        </w:rPr>
        <w:t xml:space="preserve">, [s. l.], v. 2, ed. 3, p. 26-41, 30 jun. 2020. </w:t>
      </w:r>
      <w:r>
        <w:rPr>
          <w:rFonts w:ascii="Times New Roman" w:eastAsia="Times New Roman" w:hAnsi="Times New Roman" w:cs="Times New Roman"/>
          <w:sz w:val="24"/>
          <w:szCs w:val="24"/>
        </w:rPr>
        <w:t>Disponível em: http://dspace.uces.edu.ar:8180/xmlui/handle/123456789/4890. Acesso em: 11 mar. 2024.</w:t>
      </w:r>
    </w:p>
    <w:p w14:paraId="2D0D3F77" w14:textId="77777777" w:rsidR="003B7FBE" w:rsidRDefault="003B7FBE">
      <w:pPr>
        <w:jc w:val="both"/>
        <w:rPr>
          <w:rFonts w:ascii="Times New Roman" w:eastAsia="Times New Roman" w:hAnsi="Times New Roman" w:cs="Times New Roman"/>
          <w:sz w:val="24"/>
          <w:szCs w:val="24"/>
        </w:rPr>
      </w:pPr>
    </w:p>
    <w:sectPr w:rsidR="003B7FBE" w:rsidSect="00AE3682">
      <w:headerReference w:type="default" r:id="rId10"/>
      <w:headerReference w:type="first" r:id="rId11"/>
      <w:pgSz w:w="11906" w:h="16838"/>
      <w:pgMar w:top="1700" w:right="1133" w:bottom="1133" w:left="170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D42CA9" w14:textId="77777777" w:rsidR="00846BBB" w:rsidRDefault="00846BBB">
      <w:pPr>
        <w:spacing w:line="240" w:lineRule="auto"/>
      </w:pPr>
      <w:r>
        <w:separator/>
      </w:r>
    </w:p>
  </w:endnote>
  <w:endnote w:type="continuationSeparator" w:id="0">
    <w:p w14:paraId="7BBA1D43" w14:textId="77777777" w:rsidR="00846BBB" w:rsidRDefault="00846BB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0683E905-F068-429D-80C6-452E387E677F}"/>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2" w:fontKey="{82AC074C-775F-4C3B-8362-FF6DDF8E30B0}"/>
    <w:embedItalic r:id="rId3" w:fontKey="{1E2591AC-CF51-42D2-AD12-A93FCA93951D}"/>
  </w:font>
  <w:font w:name="Aptos Narrow">
    <w:charset w:val="00"/>
    <w:family w:val="swiss"/>
    <w:pitch w:val="variable"/>
    <w:sig w:usb0="20000287" w:usb1="00000003" w:usb2="00000000" w:usb3="00000000" w:csb0="0000019F" w:csb1="00000000"/>
    <w:embedRegular r:id="rId4" w:fontKey="{864A59E3-A0E9-4436-BDB8-38CCA59D03F2}"/>
  </w:font>
  <w:font w:name="Calibri">
    <w:panose1 w:val="020F0502020204030204"/>
    <w:charset w:val="00"/>
    <w:family w:val="swiss"/>
    <w:pitch w:val="variable"/>
    <w:sig w:usb0="E4002EFF" w:usb1="C200247B" w:usb2="00000009" w:usb3="00000000" w:csb0="000001FF" w:csb1="00000000"/>
    <w:embedRegular r:id="rId5" w:fontKey="{EDFEB1F6-7264-4CBD-979A-DB4EBB262DE2}"/>
  </w:font>
  <w:font w:name="Cambria">
    <w:panose1 w:val="02040503050406030204"/>
    <w:charset w:val="00"/>
    <w:family w:val="roman"/>
    <w:pitch w:val="variable"/>
    <w:sig w:usb0="E00006FF" w:usb1="420024FF" w:usb2="02000000" w:usb3="00000000" w:csb0="0000019F" w:csb1="00000000"/>
    <w:embedRegular r:id="rId6" w:fontKey="{D152B3A3-3CA4-4013-9DEE-8D5E9BBAAE0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F2F78" w14:textId="77777777" w:rsidR="00846BBB" w:rsidRDefault="00846BBB">
      <w:pPr>
        <w:spacing w:line="240" w:lineRule="auto"/>
      </w:pPr>
      <w:r>
        <w:separator/>
      </w:r>
    </w:p>
  </w:footnote>
  <w:footnote w:type="continuationSeparator" w:id="0">
    <w:p w14:paraId="15CFEFBB" w14:textId="77777777" w:rsidR="00846BBB" w:rsidRDefault="00846BB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5108221"/>
      <w:docPartObj>
        <w:docPartGallery w:val="Page Numbers (Top of Page)"/>
        <w:docPartUnique/>
      </w:docPartObj>
    </w:sdtPr>
    <w:sdtContent>
      <w:p w14:paraId="4C9526FE" w14:textId="71DF1EED" w:rsidR="0057328B" w:rsidRDefault="0057328B">
        <w:pPr>
          <w:pStyle w:val="Cabealho"/>
          <w:jc w:val="right"/>
        </w:pPr>
        <w:r>
          <w:fldChar w:fldCharType="begin"/>
        </w:r>
        <w:r>
          <w:instrText>PAGE   \* MERGEFORMAT</w:instrText>
        </w:r>
        <w:r>
          <w:fldChar w:fldCharType="separate"/>
        </w:r>
        <w:r>
          <w:t>2</w:t>
        </w:r>
        <w:r>
          <w:fldChar w:fldCharType="end"/>
        </w:r>
      </w:p>
    </w:sdtContent>
  </w:sdt>
  <w:p w14:paraId="2D0D3F79" w14:textId="77777777" w:rsidR="003B7FBE" w:rsidRDefault="003B7FBE">
    <w:pPr>
      <w:pBdr>
        <w:top w:val="nil"/>
        <w:left w:val="nil"/>
        <w:bottom w:val="nil"/>
        <w:right w:val="nil"/>
        <w:between w:val="nil"/>
      </w:pBdr>
      <w:tabs>
        <w:tab w:val="center" w:pos="4252"/>
        <w:tab w:val="right" w:pos="8504"/>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634D9" w14:textId="4BB5A0BB" w:rsidR="00AE3682" w:rsidRDefault="00AE3682" w:rsidP="009071E9">
    <w:pPr>
      <w:pStyle w:val="Cabealho"/>
    </w:pPr>
  </w:p>
  <w:p w14:paraId="29FD1F32" w14:textId="77777777" w:rsidR="00AE3682" w:rsidRDefault="00AE368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F0397"/>
    <w:multiLevelType w:val="hybridMultilevel"/>
    <w:tmpl w:val="ED9E8038"/>
    <w:lvl w:ilvl="0" w:tplc="04160001">
      <w:numFmt w:val="bullet"/>
      <w:lvlText w:val=""/>
      <w:lvlJc w:val="left"/>
      <w:pPr>
        <w:ind w:left="720" w:hanging="360"/>
      </w:pPr>
      <w:rPr>
        <w:rFonts w:ascii="Symbol" w:eastAsia="Times New Roman" w:hAnsi="Symbol" w:cs="Times New Roman"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DDC6E96"/>
    <w:multiLevelType w:val="hybridMultilevel"/>
    <w:tmpl w:val="D13455E2"/>
    <w:lvl w:ilvl="0" w:tplc="932C8B4E">
      <w:numFmt w:val="bullet"/>
      <w:lvlText w:val=""/>
      <w:lvlJc w:val="left"/>
      <w:pPr>
        <w:ind w:left="720" w:hanging="360"/>
      </w:pPr>
      <w:rPr>
        <w:rFonts w:ascii="Symbol" w:eastAsia="Times New Roman" w:hAnsi="Symbol" w:cs="Times New Roman" w:hint="default"/>
        <w:color w:val="000000"/>
        <w:sz w:val="24"/>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610443B"/>
    <w:multiLevelType w:val="multilevel"/>
    <w:tmpl w:val="880A6D58"/>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54B17F5"/>
    <w:multiLevelType w:val="multilevel"/>
    <w:tmpl w:val="82BC0A7A"/>
    <w:lvl w:ilvl="0">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4" w15:restartNumberingAfterBreak="0">
    <w:nsid w:val="5B2448C8"/>
    <w:multiLevelType w:val="multilevel"/>
    <w:tmpl w:val="D89445E2"/>
    <w:lvl w:ilvl="0">
      <w:start w:val="4"/>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5FF8041D"/>
    <w:multiLevelType w:val="multilevel"/>
    <w:tmpl w:val="F4109A44"/>
    <w:lvl w:ilvl="0">
      <w:start w:val="4"/>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6F7E0A85"/>
    <w:multiLevelType w:val="multilevel"/>
    <w:tmpl w:val="6E08C176"/>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01B78E4"/>
    <w:multiLevelType w:val="multilevel"/>
    <w:tmpl w:val="46244C9A"/>
    <w:lvl w:ilvl="0">
      <w:start w:val="1"/>
      <w:numFmt w:val="decimal"/>
      <w:lvlText w:val="%1."/>
      <w:lvlJc w:val="left"/>
      <w:pPr>
        <w:ind w:left="360" w:hanging="360"/>
      </w:pPr>
      <w:rPr>
        <w:rFonts w:ascii="Arial" w:eastAsia="Arial" w:hAnsi="Arial" w:cs="Arial"/>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914655137">
    <w:abstractNumId w:val="7"/>
  </w:num>
  <w:num w:numId="2" w16cid:durableId="782264622">
    <w:abstractNumId w:val="3"/>
  </w:num>
  <w:num w:numId="3" w16cid:durableId="226117034">
    <w:abstractNumId w:val="6"/>
  </w:num>
  <w:num w:numId="4" w16cid:durableId="428887067">
    <w:abstractNumId w:val="2"/>
  </w:num>
  <w:num w:numId="5" w16cid:durableId="174391499">
    <w:abstractNumId w:val="5"/>
  </w:num>
  <w:num w:numId="6" w16cid:durableId="1280066168">
    <w:abstractNumId w:val="4"/>
  </w:num>
  <w:num w:numId="7" w16cid:durableId="108207017">
    <w:abstractNumId w:val="1"/>
  </w:num>
  <w:num w:numId="8" w16cid:durableId="74596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7FBE"/>
    <w:rsid w:val="00020362"/>
    <w:rsid w:val="0007535A"/>
    <w:rsid w:val="000876A1"/>
    <w:rsid w:val="000A1FAB"/>
    <w:rsid w:val="000A61A8"/>
    <w:rsid w:val="000F0FDE"/>
    <w:rsid w:val="0012300F"/>
    <w:rsid w:val="00131B86"/>
    <w:rsid w:val="001330FA"/>
    <w:rsid w:val="00133EC8"/>
    <w:rsid w:val="001C13E2"/>
    <w:rsid w:val="002129BD"/>
    <w:rsid w:val="002148E1"/>
    <w:rsid w:val="002451C4"/>
    <w:rsid w:val="002E266F"/>
    <w:rsid w:val="00340D5B"/>
    <w:rsid w:val="00354282"/>
    <w:rsid w:val="00366980"/>
    <w:rsid w:val="003B27A5"/>
    <w:rsid w:val="003B7FBE"/>
    <w:rsid w:val="003C024C"/>
    <w:rsid w:val="003C17B1"/>
    <w:rsid w:val="003C3F65"/>
    <w:rsid w:val="003E01E4"/>
    <w:rsid w:val="003E22C5"/>
    <w:rsid w:val="0040541E"/>
    <w:rsid w:val="00406A25"/>
    <w:rsid w:val="00480B70"/>
    <w:rsid w:val="0051494C"/>
    <w:rsid w:val="0054548D"/>
    <w:rsid w:val="0057328B"/>
    <w:rsid w:val="00581EF8"/>
    <w:rsid w:val="005823DE"/>
    <w:rsid w:val="00595F8E"/>
    <w:rsid w:val="005D13C8"/>
    <w:rsid w:val="005D1913"/>
    <w:rsid w:val="005F2C23"/>
    <w:rsid w:val="005F5638"/>
    <w:rsid w:val="0060169A"/>
    <w:rsid w:val="006532A8"/>
    <w:rsid w:val="006C7D07"/>
    <w:rsid w:val="006D4D3C"/>
    <w:rsid w:val="006E4A1D"/>
    <w:rsid w:val="006F2307"/>
    <w:rsid w:val="00725A5B"/>
    <w:rsid w:val="00751381"/>
    <w:rsid w:val="00776AF6"/>
    <w:rsid w:val="00815147"/>
    <w:rsid w:val="00825087"/>
    <w:rsid w:val="00840AE3"/>
    <w:rsid w:val="00846BBB"/>
    <w:rsid w:val="00896BC0"/>
    <w:rsid w:val="008A0E56"/>
    <w:rsid w:val="008A7CEB"/>
    <w:rsid w:val="008B31F2"/>
    <w:rsid w:val="008E00CE"/>
    <w:rsid w:val="008F1B4F"/>
    <w:rsid w:val="009071E9"/>
    <w:rsid w:val="00912C7C"/>
    <w:rsid w:val="00946544"/>
    <w:rsid w:val="009630B5"/>
    <w:rsid w:val="00981F53"/>
    <w:rsid w:val="009856AB"/>
    <w:rsid w:val="00993C54"/>
    <w:rsid w:val="009B6296"/>
    <w:rsid w:val="009D63D6"/>
    <w:rsid w:val="00A034CE"/>
    <w:rsid w:val="00A23BCA"/>
    <w:rsid w:val="00A23CBB"/>
    <w:rsid w:val="00A35670"/>
    <w:rsid w:val="00A439DC"/>
    <w:rsid w:val="00A522FC"/>
    <w:rsid w:val="00A7626C"/>
    <w:rsid w:val="00AC6186"/>
    <w:rsid w:val="00AE3682"/>
    <w:rsid w:val="00AF3286"/>
    <w:rsid w:val="00B24714"/>
    <w:rsid w:val="00B338D3"/>
    <w:rsid w:val="00B70714"/>
    <w:rsid w:val="00B7771B"/>
    <w:rsid w:val="00B958D6"/>
    <w:rsid w:val="00BB43C0"/>
    <w:rsid w:val="00BE4AA1"/>
    <w:rsid w:val="00BE5520"/>
    <w:rsid w:val="00C2181D"/>
    <w:rsid w:val="00C40B35"/>
    <w:rsid w:val="00C82017"/>
    <w:rsid w:val="00C85248"/>
    <w:rsid w:val="00CC2CFB"/>
    <w:rsid w:val="00CD2A7D"/>
    <w:rsid w:val="00CD4ACA"/>
    <w:rsid w:val="00CD77DD"/>
    <w:rsid w:val="00D1623A"/>
    <w:rsid w:val="00D3716B"/>
    <w:rsid w:val="00D73215"/>
    <w:rsid w:val="00D73D83"/>
    <w:rsid w:val="00D9049B"/>
    <w:rsid w:val="00DB0C6B"/>
    <w:rsid w:val="00DC0D7A"/>
    <w:rsid w:val="00E1792A"/>
    <w:rsid w:val="00E41F5D"/>
    <w:rsid w:val="00E66FC8"/>
    <w:rsid w:val="00E90463"/>
    <w:rsid w:val="00EC0F52"/>
    <w:rsid w:val="00F07C63"/>
    <w:rsid w:val="00F20199"/>
    <w:rsid w:val="00F46402"/>
    <w:rsid w:val="00F81C9B"/>
    <w:rsid w:val="00FD03A7"/>
    <w:rsid w:val="00FF463F"/>
    <w:rsid w:val="00FF796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0D3E4D"/>
  <w15:docId w15:val="{B7AF6D53-22CD-44C8-96CE-327B14B8BE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outlineLvl w:val="0"/>
    </w:pPr>
    <w:rPr>
      <w:b/>
      <w:sz w:val="24"/>
      <w:szCs w:val="24"/>
    </w:rPr>
  </w:style>
  <w:style w:type="paragraph" w:styleId="Ttulo2">
    <w:name w:val="heading 2"/>
    <w:basedOn w:val="Normal"/>
    <w:next w:val="Normal"/>
    <w:uiPriority w:val="9"/>
    <w:unhideWhenUsed/>
    <w:qFormat/>
    <w:pPr>
      <w:keepNext/>
      <w:keepLines/>
      <w:ind w:left="360"/>
      <w:outlineLvl w:val="1"/>
    </w:pPr>
    <w:rPr>
      <w:b/>
      <w:sz w:val="24"/>
      <w:szCs w:val="24"/>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pPr>
    <w:rPr>
      <w:b/>
      <w:sz w:val="24"/>
      <w:szCs w:val="24"/>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Cabealho">
    <w:name w:val="header"/>
    <w:basedOn w:val="Normal"/>
    <w:link w:val="CabealhoChar"/>
    <w:uiPriority w:val="99"/>
    <w:unhideWhenUsed/>
    <w:rsid w:val="00AE3682"/>
    <w:pPr>
      <w:tabs>
        <w:tab w:val="center" w:pos="4252"/>
        <w:tab w:val="right" w:pos="8504"/>
      </w:tabs>
      <w:spacing w:line="240" w:lineRule="auto"/>
    </w:pPr>
  </w:style>
  <w:style w:type="character" w:customStyle="1" w:styleId="CabealhoChar">
    <w:name w:val="Cabeçalho Char"/>
    <w:basedOn w:val="Fontepargpadro"/>
    <w:link w:val="Cabealho"/>
    <w:uiPriority w:val="99"/>
    <w:rsid w:val="00AE3682"/>
  </w:style>
  <w:style w:type="paragraph" w:styleId="Rodap">
    <w:name w:val="footer"/>
    <w:basedOn w:val="Normal"/>
    <w:link w:val="RodapChar"/>
    <w:uiPriority w:val="99"/>
    <w:unhideWhenUsed/>
    <w:rsid w:val="00AE3682"/>
    <w:pPr>
      <w:tabs>
        <w:tab w:val="center" w:pos="4252"/>
        <w:tab w:val="right" w:pos="8504"/>
      </w:tabs>
      <w:spacing w:line="240" w:lineRule="auto"/>
    </w:pPr>
  </w:style>
  <w:style w:type="character" w:customStyle="1" w:styleId="RodapChar">
    <w:name w:val="Rodapé Char"/>
    <w:basedOn w:val="Fontepargpadro"/>
    <w:link w:val="Rodap"/>
    <w:uiPriority w:val="99"/>
    <w:rsid w:val="00AE3682"/>
  </w:style>
  <w:style w:type="paragraph" w:styleId="PargrafodaLista">
    <w:name w:val="List Paragraph"/>
    <w:basedOn w:val="Normal"/>
    <w:uiPriority w:val="34"/>
    <w:qFormat/>
    <w:rsid w:val="00AC6186"/>
    <w:pPr>
      <w:ind w:left="720"/>
      <w:contextualSpacing/>
    </w:pPr>
  </w:style>
  <w:style w:type="table" w:styleId="Tabelacomgrade">
    <w:name w:val="Table Grid"/>
    <w:basedOn w:val="Tabelanormal"/>
    <w:uiPriority w:val="39"/>
    <w:rsid w:val="00AC618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0364857">
      <w:bodyDiv w:val="1"/>
      <w:marLeft w:val="0"/>
      <w:marRight w:val="0"/>
      <w:marTop w:val="0"/>
      <w:marBottom w:val="0"/>
      <w:divBdr>
        <w:top w:val="none" w:sz="0" w:space="0" w:color="auto"/>
        <w:left w:val="none" w:sz="0" w:space="0" w:color="auto"/>
        <w:bottom w:val="none" w:sz="0" w:space="0" w:color="auto"/>
        <w:right w:val="none" w:sz="0" w:space="0" w:color="auto"/>
      </w:divBdr>
    </w:div>
    <w:div w:id="1352537718">
      <w:bodyDiv w:val="1"/>
      <w:marLeft w:val="0"/>
      <w:marRight w:val="0"/>
      <w:marTop w:val="0"/>
      <w:marBottom w:val="0"/>
      <w:divBdr>
        <w:top w:val="none" w:sz="0" w:space="0" w:color="auto"/>
        <w:left w:val="none" w:sz="0" w:space="0" w:color="auto"/>
        <w:bottom w:val="none" w:sz="0" w:space="0" w:color="auto"/>
        <w:right w:val="none" w:sz="0" w:space="0" w:color="auto"/>
      </w:divBdr>
    </w:div>
    <w:div w:id="1356268092">
      <w:bodyDiv w:val="1"/>
      <w:marLeft w:val="0"/>
      <w:marRight w:val="0"/>
      <w:marTop w:val="0"/>
      <w:marBottom w:val="0"/>
      <w:divBdr>
        <w:top w:val="none" w:sz="0" w:space="0" w:color="auto"/>
        <w:left w:val="none" w:sz="0" w:space="0" w:color="auto"/>
        <w:bottom w:val="none" w:sz="0" w:space="0" w:color="auto"/>
        <w:right w:val="none" w:sz="0" w:space="0" w:color="auto"/>
      </w:divBdr>
    </w:div>
    <w:div w:id="189157613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doi.org/10.25091/s01013300202000030003"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7771/pucrio.osq.5855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EA190-F62D-44F2-BBB4-0F68672702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19</Pages>
  <Words>6483</Words>
  <Characters>35011</Characters>
  <Application>Microsoft Office Word</Application>
  <DocSecurity>0</DocSecurity>
  <Lines>291</Lines>
  <Paragraphs>82</Paragraphs>
  <ScaleCrop>false</ScaleCrop>
  <Company/>
  <LinksUpToDate>false</LinksUpToDate>
  <CharactersWithSpaces>41412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Alexandre Bezerra dos Santos</cp:lastModifiedBy>
  <cp:revision>107</cp:revision>
  <dcterms:created xsi:type="dcterms:W3CDTF">2025-05-26T23:26:00Z</dcterms:created>
  <dcterms:modified xsi:type="dcterms:W3CDTF">2025-05-28T03:02:00Z</dcterms:modified>
</cp:coreProperties>
</file>