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D0D3E4D" w14:textId="77777777" w:rsidR="003B7FBE" w:rsidRDefault="00AE3682">
      <w:pPr>
        <w:keepNext/>
        <w:keepLines/>
        <w:pBdr>
          <w:top w:val="nil"/>
          <w:left w:val="nil"/>
          <w:bottom w:val="nil"/>
          <w:right w:val="nil"/>
          <w:between w:val="nil"/>
        </w:pBdr>
        <w:jc w:val="both"/>
        <w:rPr>
          <w:rFonts w:ascii="Times New Roman" w:eastAsia="Times New Roman" w:hAnsi="Times New Roman" w:cs="Times New Roman"/>
          <w:b/>
          <w:color w:val="000000"/>
          <w:sz w:val="24"/>
          <w:szCs w:val="24"/>
        </w:rPr>
      </w:pPr>
      <w:bookmarkStart w:id="0" w:name="_539bnzkrp8zl" w:colFirst="0" w:colLast="0"/>
      <w:bookmarkEnd w:id="0"/>
      <w:r>
        <w:rPr>
          <w:rFonts w:ascii="Times New Roman" w:eastAsia="Times New Roman" w:hAnsi="Times New Roman" w:cs="Times New Roman"/>
          <w:b/>
          <w:color w:val="000000"/>
          <w:sz w:val="24"/>
          <w:szCs w:val="24"/>
        </w:rPr>
        <w:t>SUMÁRIO</w:t>
      </w:r>
    </w:p>
    <w:p w14:paraId="2D0D3E4E" w14:textId="77777777" w:rsidR="003B7FBE" w:rsidRDefault="003B7FBE">
      <w:pPr>
        <w:keepNext/>
        <w:keepLines/>
        <w:pBdr>
          <w:top w:val="nil"/>
          <w:left w:val="nil"/>
          <w:bottom w:val="nil"/>
          <w:right w:val="nil"/>
          <w:between w:val="nil"/>
        </w:pBdr>
        <w:spacing w:before="240" w:line="259" w:lineRule="auto"/>
        <w:jc w:val="both"/>
        <w:rPr>
          <w:rFonts w:ascii="Times New Roman" w:eastAsia="Times New Roman" w:hAnsi="Times New Roman" w:cs="Times New Roman"/>
          <w:color w:val="366091"/>
          <w:sz w:val="24"/>
          <w:szCs w:val="24"/>
        </w:rPr>
      </w:pPr>
    </w:p>
    <w:sdt>
      <w:sdtPr>
        <w:id w:val="1470248903"/>
        <w:docPartObj>
          <w:docPartGallery w:val="Table of Contents"/>
          <w:docPartUnique/>
        </w:docPartObj>
      </w:sdtPr>
      <w:sdtEndPr/>
      <w:sdtContent>
        <w:p w14:paraId="2D0D3E4F" w14:textId="77777777" w:rsidR="003B7FBE" w:rsidRDefault="00AE3682">
          <w:pPr>
            <w:widowControl w:val="0"/>
            <w:tabs>
              <w:tab w:val="right" w:pos="12000"/>
            </w:tabs>
            <w:spacing w:before="60" w:line="240" w:lineRule="auto"/>
            <w:rPr>
              <w:b/>
              <w:color w:val="000000"/>
            </w:rPr>
          </w:pPr>
          <w:r>
            <w:fldChar w:fldCharType="begin"/>
          </w:r>
          <w:r>
            <w:instrText xml:space="preserve"> TOC \h \u \z \t "Heading 1,1,Heading 2,2,Heading 3,3,"</w:instrText>
          </w:r>
          <w:r>
            <w:fldChar w:fldCharType="separate"/>
          </w:r>
          <w:hyperlink w:anchor="_vp15diitc53i">
            <w:r>
              <w:rPr>
                <w:rFonts w:ascii="Times New Roman" w:eastAsia="Times New Roman" w:hAnsi="Times New Roman" w:cs="Times New Roman"/>
                <w:b/>
                <w:color w:val="000000"/>
                <w:sz w:val="24"/>
                <w:szCs w:val="24"/>
              </w:rPr>
              <w:t>INTRODUÇÃO</w:t>
            </w:r>
            <w:r>
              <w:rPr>
                <w:rFonts w:ascii="Times New Roman" w:eastAsia="Times New Roman" w:hAnsi="Times New Roman" w:cs="Times New Roman"/>
                <w:b/>
                <w:color w:val="000000"/>
                <w:sz w:val="24"/>
                <w:szCs w:val="24"/>
              </w:rPr>
              <w:tab/>
              <w:t>1</w:t>
            </w:r>
          </w:hyperlink>
        </w:p>
        <w:p w14:paraId="2D0D3E50" w14:textId="77777777" w:rsidR="003B7FBE" w:rsidRDefault="00AE3682">
          <w:pPr>
            <w:widowControl w:val="0"/>
            <w:tabs>
              <w:tab w:val="right" w:pos="12000"/>
            </w:tabs>
            <w:spacing w:before="60" w:line="240" w:lineRule="auto"/>
            <w:ind w:left="360"/>
            <w:rPr>
              <w:color w:val="000000"/>
            </w:rPr>
          </w:pPr>
          <w:hyperlink w:anchor="_cegvfz90ape9">
            <w:r>
              <w:rPr>
                <w:rFonts w:ascii="Times New Roman" w:eastAsia="Times New Roman" w:hAnsi="Times New Roman" w:cs="Times New Roman"/>
                <w:color w:val="000000"/>
                <w:sz w:val="24"/>
                <w:szCs w:val="24"/>
              </w:rPr>
              <w:t>1. Contexto</w:t>
            </w:r>
            <w:r>
              <w:rPr>
                <w:rFonts w:ascii="Times New Roman" w:eastAsia="Times New Roman" w:hAnsi="Times New Roman" w:cs="Times New Roman"/>
                <w:color w:val="000000"/>
                <w:sz w:val="24"/>
                <w:szCs w:val="24"/>
              </w:rPr>
              <w:tab/>
              <w:t>1</w:t>
            </w:r>
          </w:hyperlink>
        </w:p>
        <w:p w14:paraId="2D0D3E51" w14:textId="77777777" w:rsidR="003B7FBE" w:rsidRDefault="00AE3682">
          <w:pPr>
            <w:widowControl w:val="0"/>
            <w:tabs>
              <w:tab w:val="right" w:pos="12000"/>
            </w:tabs>
            <w:spacing w:before="60" w:line="240" w:lineRule="auto"/>
            <w:ind w:left="360"/>
            <w:rPr>
              <w:color w:val="000000"/>
            </w:rPr>
          </w:pPr>
          <w:hyperlink w:anchor="_axyxiafib09v">
            <w:r>
              <w:rPr>
                <w:rFonts w:ascii="Times New Roman" w:eastAsia="Times New Roman" w:hAnsi="Times New Roman" w:cs="Times New Roman"/>
                <w:color w:val="000000"/>
                <w:sz w:val="24"/>
                <w:szCs w:val="24"/>
              </w:rPr>
              <w:t>2. Problema de Pesquisa</w:t>
            </w:r>
            <w:r>
              <w:rPr>
                <w:rFonts w:ascii="Times New Roman" w:eastAsia="Times New Roman" w:hAnsi="Times New Roman" w:cs="Times New Roman"/>
                <w:color w:val="000000"/>
                <w:sz w:val="24"/>
                <w:szCs w:val="24"/>
              </w:rPr>
              <w:tab/>
              <w:t>3</w:t>
            </w:r>
          </w:hyperlink>
        </w:p>
        <w:p w14:paraId="2D0D3E52" w14:textId="77777777" w:rsidR="003B7FBE" w:rsidRDefault="00AE3682">
          <w:pPr>
            <w:widowControl w:val="0"/>
            <w:tabs>
              <w:tab w:val="right" w:pos="12000"/>
            </w:tabs>
            <w:spacing w:before="60" w:line="240" w:lineRule="auto"/>
            <w:ind w:left="360"/>
            <w:rPr>
              <w:color w:val="000000"/>
            </w:rPr>
          </w:pPr>
          <w:hyperlink w:anchor="_ogroadezj44c">
            <w:r>
              <w:rPr>
                <w:rFonts w:ascii="Times New Roman" w:eastAsia="Times New Roman" w:hAnsi="Times New Roman" w:cs="Times New Roman"/>
                <w:color w:val="000000"/>
                <w:sz w:val="24"/>
                <w:szCs w:val="24"/>
              </w:rPr>
              <w:t>3. Significância do Estudo</w:t>
            </w:r>
            <w:r>
              <w:rPr>
                <w:rFonts w:ascii="Times New Roman" w:eastAsia="Times New Roman" w:hAnsi="Times New Roman" w:cs="Times New Roman"/>
                <w:color w:val="000000"/>
                <w:sz w:val="24"/>
                <w:szCs w:val="24"/>
              </w:rPr>
              <w:tab/>
              <w:t>4</w:t>
            </w:r>
          </w:hyperlink>
        </w:p>
        <w:p w14:paraId="2D0D3E53" w14:textId="77777777" w:rsidR="003B7FBE" w:rsidRDefault="00AE3682">
          <w:pPr>
            <w:widowControl w:val="0"/>
            <w:tabs>
              <w:tab w:val="right" w:pos="12000"/>
            </w:tabs>
            <w:spacing w:before="60" w:line="240" w:lineRule="auto"/>
            <w:ind w:left="360"/>
            <w:rPr>
              <w:color w:val="000000"/>
            </w:rPr>
          </w:pPr>
          <w:hyperlink w:anchor="_f32y5qm5ep2a">
            <w:r>
              <w:rPr>
                <w:rFonts w:ascii="Times New Roman" w:eastAsia="Times New Roman" w:hAnsi="Times New Roman" w:cs="Times New Roman"/>
                <w:color w:val="000000"/>
                <w:sz w:val="24"/>
                <w:szCs w:val="24"/>
              </w:rPr>
              <w:t>4. Perguntas da Pesquisa</w:t>
            </w:r>
            <w:r>
              <w:rPr>
                <w:rFonts w:ascii="Times New Roman" w:eastAsia="Times New Roman" w:hAnsi="Times New Roman" w:cs="Times New Roman"/>
                <w:color w:val="000000"/>
                <w:sz w:val="24"/>
                <w:szCs w:val="24"/>
              </w:rPr>
              <w:tab/>
              <w:t>5</w:t>
            </w:r>
          </w:hyperlink>
        </w:p>
        <w:p w14:paraId="2D0D3E54" w14:textId="77777777" w:rsidR="003B7FBE" w:rsidRDefault="00AE3682">
          <w:pPr>
            <w:widowControl w:val="0"/>
            <w:tabs>
              <w:tab w:val="right" w:pos="12000"/>
            </w:tabs>
            <w:spacing w:before="60" w:line="240" w:lineRule="auto"/>
            <w:ind w:left="360"/>
            <w:rPr>
              <w:color w:val="000000"/>
            </w:rPr>
          </w:pPr>
          <w:hyperlink w:anchor="_gfvg8inrrvko">
            <w:r>
              <w:rPr>
                <w:rFonts w:ascii="Times New Roman" w:eastAsia="Times New Roman" w:hAnsi="Times New Roman" w:cs="Times New Roman"/>
                <w:color w:val="000000"/>
                <w:sz w:val="24"/>
                <w:szCs w:val="24"/>
              </w:rPr>
              <w:t>5. Objetivos</w:t>
            </w:r>
            <w:r>
              <w:rPr>
                <w:rFonts w:ascii="Times New Roman" w:eastAsia="Times New Roman" w:hAnsi="Times New Roman" w:cs="Times New Roman"/>
                <w:color w:val="000000"/>
                <w:sz w:val="24"/>
                <w:szCs w:val="24"/>
              </w:rPr>
              <w:tab/>
              <w:t>6</w:t>
            </w:r>
          </w:hyperlink>
        </w:p>
        <w:p w14:paraId="2D0D3E55" w14:textId="77777777" w:rsidR="003B7FBE" w:rsidRDefault="00AE3682">
          <w:pPr>
            <w:widowControl w:val="0"/>
            <w:tabs>
              <w:tab w:val="right" w:pos="12000"/>
            </w:tabs>
            <w:spacing w:before="60" w:line="240" w:lineRule="auto"/>
            <w:ind w:left="360"/>
            <w:rPr>
              <w:color w:val="000000"/>
            </w:rPr>
          </w:pPr>
          <w:hyperlink w:anchor="_cx4ekaekf09b">
            <w:r>
              <w:rPr>
                <w:rFonts w:ascii="Times New Roman" w:eastAsia="Times New Roman" w:hAnsi="Times New Roman" w:cs="Times New Roman"/>
                <w:color w:val="000000"/>
                <w:sz w:val="24"/>
                <w:szCs w:val="24"/>
              </w:rPr>
              <w:t>6. Declaração da Tese</w:t>
            </w:r>
            <w:r>
              <w:rPr>
                <w:rFonts w:ascii="Times New Roman" w:eastAsia="Times New Roman" w:hAnsi="Times New Roman" w:cs="Times New Roman"/>
                <w:color w:val="000000"/>
                <w:sz w:val="24"/>
                <w:szCs w:val="24"/>
              </w:rPr>
              <w:tab/>
              <w:t>7</w:t>
            </w:r>
          </w:hyperlink>
        </w:p>
        <w:p w14:paraId="2D0D3E56" w14:textId="77777777" w:rsidR="003B7FBE" w:rsidRDefault="00AE3682">
          <w:pPr>
            <w:widowControl w:val="0"/>
            <w:tabs>
              <w:tab w:val="right" w:pos="12000"/>
            </w:tabs>
            <w:spacing w:before="60" w:line="240" w:lineRule="auto"/>
            <w:ind w:left="360"/>
            <w:rPr>
              <w:color w:val="000000"/>
            </w:rPr>
          </w:pPr>
          <w:hyperlink w:anchor="_nefyzm1zjtwh">
            <w:r>
              <w:rPr>
                <w:rFonts w:ascii="Times New Roman" w:eastAsia="Times New Roman" w:hAnsi="Times New Roman" w:cs="Times New Roman"/>
                <w:color w:val="000000"/>
                <w:sz w:val="24"/>
                <w:szCs w:val="24"/>
              </w:rPr>
              <w:t>7. Referencial Teórico</w:t>
            </w:r>
            <w:r>
              <w:rPr>
                <w:rFonts w:ascii="Times New Roman" w:eastAsia="Times New Roman" w:hAnsi="Times New Roman" w:cs="Times New Roman"/>
                <w:color w:val="000000"/>
                <w:sz w:val="24"/>
                <w:szCs w:val="24"/>
              </w:rPr>
              <w:tab/>
              <w:t>7</w:t>
            </w:r>
          </w:hyperlink>
        </w:p>
        <w:p w14:paraId="2D0D3E57" w14:textId="77777777" w:rsidR="003B7FBE" w:rsidRDefault="00AE3682">
          <w:pPr>
            <w:widowControl w:val="0"/>
            <w:tabs>
              <w:tab w:val="right" w:pos="12000"/>
            </w:tabs>
            <w:spacing w:before="60" w:line="240" w:lineRule="auto"/>
            <w:rPr>
              <w:b/>
              <w:color w:val="000000"/>
            </w:rPr>
          </w:pPr>
          <w:hyperlink w:anchor="_ssi6qpj2k9ry">
            <w:r>
              <w:rPr>
                <w:rFonts w:ascii="Times New Roman" w:eastAsia="Times New Roman" w:hAnsi="Times New Roman" w:cs="Times New Roman"/>
                <w:b/>
                <w:color w:val="000000"/>
                <w:sz w:val="24"/>
                <w:szCs w:val="24"/>
              </w:rPr>
              <w:t>METODOLOGIA</w:t>
            </w:r>
            <w:r>
              <w:rPr>
                <w:rFonts w:ascii="Times New Roman" w:eastAsia="Times New Roman" w:hAnsi="Times New Roman" w:cs="Times New Roman"/>
                <w:b/>
                <w:color w:val="000000"/>
                <w:sz w:val="24"/>
                <w:szCs w:val="24"/>
              </w:rPr>
              <w:tab/>
              <w:t>10</w:t>
            </w:r>
          </w:hyperlink>
        </w:p>
        <w:p w14:paraId="2D0D3E58" w14:textId="77777777" w:rsidR="003B7FBE" w:rsidRDefault="00AE3682">
          <w:pPr>
            <w:widowControl w:val="0"/>
            <w:tabs>
              <w:tab w:val="right" w:pos="12000"/>
            </w:tabs>
            <w:spacing w:before="60" w:line="240" w:lineRule="auto"/>
            <w:ind w:left="360"/>
            <w:rPr>
              <w:color w:val="000000"/>
            </w:rPr>
          </w:pPr>
          <w:hyperlink w:anchor="_j0rt37johuwp">
            <w:r>
              <w:rPr>
                <w:rFonts w:ascii="Times New Roman" w:eastAsia="Times New Roman" w:hAnsi="Times New Roman" w:cs="Times New Roman"/>
                <w:color w:val="000000"/>
                <w:sz w:val="24"/>
                <w:szCs w:val="24"/>
              </w:rPr>
              <w:t>8. Projeto de pesquisa</w:t>
            </w:r>
            <w:r>
              <w:rPr>
                <w:rFonts w:ascii="Times New Roman" w:eastAsia="Times New Roman" w:hAnsi="Times New Roman" w:cs="Times New Roman"/>
                <w:color w:val="000000"/>
                <w:sz w:val="24"/>
                <w:szCs w:val="24"/>
              </w:rPr>
              <w:tab/>
              <w:t>10</w:t>
            </w:r>
          </w:hyperlink>
        </w:p>
        <w:p w14:paraId="2D0D3E59" w14:textId="77777777" w:rsidR="003B7FBE" w:rsidRDefault="00AE3682">
          <w:pPr>
            <w:widowControl w:val="0"/>
            <w:tabs>
              <w:tab w:val="right" w:pos="12000"/>
            </w:tabs>
            <w:spacing w:before="60" w:line="240" w:lineRule="auto"/>
            <w:ind w:left="360"/>
            <w:rPr>
              <w:color w:val="000000"/>
            </w:rPr>
          </w:pPr>
          <w:hyperlink w:anchor="_e5yt2tuxtfc">
            <w:r>
              <w:rPr>
                <w:rFonts w:ascii="Times New Roman" w:eastAsia="Times New Roman" w:hAnsi="Times New Roman" w:cs="Times New Roman"/>
                <w:color w:val="000000"/>
                <w:sz w:val="24"/>
                <w:szCs w:val="24"/>
              </w:rPr>
              <w:t>9. Métodos de coleta de dados</w:t>
            </w:r>
            <w:r>
              <w:rPr>
                <w:rFonts w:ascii="Times New Roman" w:eastAsia="Times New Roman" w:hAnsi="Times New Roman" w:cs="Times New Roman"/>
                <w:color w:val="000000"/>
                <w:sz w:val="24"/>
                <w:szCs w:val="24"/>
              </w:rPr>
              <w:tab/>
              <w:t>10</w:t>
            </w:r>
          </w:hyperlink>
        </w:p>
        <w:p w14:paraId="2D0D3E5A" w14:textId="77777777" w:rsidR="003B7FBE" w:rsidRDefault="00AE3682">
          <w:pPr>
            <w:widowControl w:val="0"/>
            <w:tabs>
              <w:tab w:val="right" w:pos="12000"/>
            </w:tabs>
            <w:spacing w:before="60" w:line="240" w:lineRule="auto"/>
            <w:ind w:left="360"/>
            <w:rPr>
              <w:color w:val="000000"/>
            </w:rPr>
          </w:pPr>
          <w:hyperlink w:anchor="_y0pw86aqss7n">
            <w:r>
              <w:rPr>
                <w:rFonts w:ascii="Times New Roman" w:eastAsia="Times New Roman" w:hAnsi="Times New Roman" w:cs="Times New Roman"/>
                <w:color w:val="000000"/>
                <w:sz w:val="24"/>
                <w:szCs w:val="24"/>
              </w:rPr>
              <w:t>10. Abordagem analítica</w:t>
            </w:r>
            <w:r>
              <w:rPr>
                <w:rFonts w:ascii="Times New Roman" w:eastAsia="Times New Roman" w:hAnsi="Times New Roman" w:cs="Times New Roman"/>
                <w:color w:val="000000"/>
                <w:sz w:val="24"/>
                <w:szCs w:val="24"/>
              </w:rPr>
              <w:tab/>
              <w:t>10</w:t>
            </w:r>
          </w:hyperlink>
        </w:p>
        <w:p w14:paraId="2D0D3E5B" w14:textId="77777777" w:rsidR="003B7FBE" w:rsidRDefault="00AE3682">
          <w:pPr>
            <w:widowControl w:val="0"/>
            <w:tabs>
              <w:tab w:val="right" w:pos="12000"/>
            </w:tabs>
            <w:spacing w:before="60" w:line="240" w:lineRule="auto"/>
            <w:rPr>
              <w:b/>
              <w:color w:val="000000"/>
            </w:rPr>
          </w:pPr>
          <w:hyperlink w:anchor="_3gwm5hggoqz4">
            <w:r>
              <w:rPr>
                <w:rFonts w:ascii="Times New Roman" w:eastAsia="Times New Roman" w:hAnsi="Times New Roman" w:cs="Times New Roman"/>
                <w:b/>
                <w:color w:val="000000"/>
                <w:sz w:val="24"/>
                <w:szCs w:val="24"/>
              </w:rPr>
              <w:t>RESULTADOS E ANÁLISES</w:t>
            </w:r>
            <w:r>
              <w:rPr>
                <w:rFonts w:ascii="Times New Roman" w:eastAsia="Times New Roman" w:hAnsi="Times New Roman" w:cs="Times New Roman"/>
                <w:b/>
                <w:color w:val="000000"/>
                <w:sz w:val="24"/>
                <w:szCs w:val="24"/>
              </w:rPr>
              <w:tab/>
              <w:t>11</w:t>
            </w:r>
          </w:hyperlink>
        </w:p>
        <w:p w14:paraId="2D0D3E5C" w14:textId="77777777" w:rsidR="003B7FBE" w:rsidRDefault="00AE3682">
          <w:pPr>
            <w:widowControl w:val="0"/>
            <w:tabs>
              <w:tab w:val="right" w:pos="12000"/>
            </w:tabs>
            <w:spacing w:before="60" w:line="240" w:lineRule="auto"/>
            <w:ind w:left="360"/>
            <w:rPr>
              <w:color w:val="000000"/>
            </w:rPr>
          </w:pPr>
          <w:hyperlink w:anchor="_jitcuzfv45v4">
            <w:r>
              <w:rPr>
                <w:rFonts w:ascii="Times New Roman" w:eastAsia="Times New Roman" w:hAnsi="Times New Roman" w:cs="Times New Roman"/>
                <w:color w:val="000000"/>
                <w:sz w:val="24"/>
                <w:szCs w:val="24"/>
              </w:rPr>
              <w:t>11. Apresentação dos dados</w:t>
            </w:r>
            <w:r>
              <w:rPr>
                <w:rFonts w:ascii="Times New Roman" w:eastAsia="Times New Roman" w:hAnsi="Times New Roman" w:cs="Times New Roman"/>
                <w:color w:val="000000"/>
                <w:sz w:val="24"/>
                <w:szCs w:val="24"/>
              </w:rPr>
              <w:tab/>
              <w:t>11</w:t>
            </w:r>
          </w:hyperlink>
        </w:p>
        <w:p w14:paraId="2D0D3E5D" w14:textId="77777777" w:rsidR="003B7FBE" w:rsidRDefault="00AE3682">
          <w:pPr>
            <w:widowControl w:val="0"/>
            <w:tabs>
              <w:tab w:val="right" w:pos="12000"/>
            </w:tabs>
            <w:spacing w:before="60" w:line="240" w:lineRule="auto"/>
            <w:ind w:left="360"/>
            <w:rPr>
              <w:color w:val="000000"/>
            </w:rPr>
          </w:pPr>
          <w:hyperlink w:anchor="_3m13tb8aieyo">
            <w:r>
              <w:rPr>
                <w:rFonts w:ascii="Times New Roman" w:eastAsia="Times New Roman" w:hAnsi="Times New Roman" w:cs="Times New Roman"/>
                <w:color w:val="000000"/>
                <w:sz w:val="24"/>
                <w:szCs w:val="24"/>
              </w:rPr>
              <w:t>12. Principais conclusões</w:t>
            </w:r>
            <w:r>
              <w:rPr>
                <w:rFonts w:ascii="Times New Roman" w:eastAsia="Times New Roman" w:hAnsi="Times New Roman" w:cs="Times New Roman"/>
                <w:color w:val="000000"/>
                <w:sz w:val="24"/>
                <w:szCs w:val="24"/>
              </w:rPr>
              <w:tab/>
              <w:t>11</w:t>
            </w:r>
          </w:hyperlink>
        </w:p>
        <w:p w14:paraId="2D0D3E5E" w14:textId="77777777" w:rsidR="003B7FBE" w:rsidRDefault="00AE3682">
          <w:pPr>
            <w:widowControl w:val="0"/>
            <w:tabs>
              <w:tab w:val="right" w:pos="12000"/>
            </w:tabs>
            <w:spacing w:before="60" w:line="240" w:lineRule="auto"/>
            <w:ind w:left="360"/>
            <w:rPr>
              <w:color w:val="000000"/>
            </w:rPr>
          </w:pPr>
          <w:hyperlink w:anchor="_sqzb2mad53ha">
            <w:r>
              <w:rPr>
                <w:rFonts w:ascii="Times New Roman" w:eastAsia="Times New Roman" w:hAnsi="Times New Roman" w:cs="Times New Roman"/>
                <w:color w:val="000000"/>
                <w:sz w:val="24"/>
                <w:szCs w:val="24"/>
              </w:rPr>
              <w:t>13. Análise estatística</w:t>
            </w:r>
            <w:r>
              <w:rPr>
                <w:rFonts w:ascii="Times New Roman" w:eastAsia="Times New Roman" w:hAnsi="Times New Roman" w:cs="Times New Roman"/>
                <w:color w:val="000000"/>
                <w:sz w:val="24"/>
                <w:szCs w:val="24"/>
              </w:rPr>
              <w:tab/>
              <w:t>12</w:t>
            </w:r>
          </w:hyperlink>
        </w:p>
        <w:p w14:paraId="2D0D3E5F" w14:textId="77777777" w:rsidR="003B7FBE" w:rsidRDefault="00AE3682">
          <w:pPr>
            <w:widowControl w:val="0"/>
            <w:tabs>
              <w:tab w:val="right" w:pos="12000"/>
            </w:tabs>
            <w:spacing w:before="60" w:line="240" w:lineRule="auto"/>
            <w:ind w:left="360"/>
            <w:rPr>
              <w:color w:val="000000"/>
            </w:rPr>
          </w:pPr>
          <w:hyperlink w:anchor="_sye1t3pxe63f">
            <w:r>
              <w:rPr>
                <w:rFonts w:ascii="Times New Roman" w:eastAsia="Times New Roman" w:hAnsi="Times New Roman" w:cs="Times New Roman"/>
                <w:color w:val="000000"/>
                <w:sz w:val="24"/>
                <w:szCs w:val="24"/>
              </w:rPr>
              <w:t>14. Interpretação dos resultados</w:t>
            </w:r>
            <w:r>
              <w:rPr>
                <w:rFonts w:ascii="Times New Roman" w:eastAsia="Times New Roman" w:hAnsi="Times New Roman" w:cs="Times New Roman"/>
                <w:color w:val="000000"/>
                <w:sz w:val="24"/>
                <w:szCs w:val="24"/>
              </w:rPr>
              <w:tab/>
              <w:t>12</w:t>
            </w:r>
          </w:hyperlink>
        </w:p>
        <w:p w14:paraId="2D0D3E60" w14:textId="77777777" w:rsidR="003B7FBE" w:rsidRDefault="00AE3682">
          <w:pPr>
            <w:widowControl w:val="0"/>
            <w:tabs>
              <w:tab w:val="right" w:pos="12000"/>
            </w:tabs>
            <w:spacing w:before="60" w:line="240" w:lineRule="auto"/>
            <w:rPr>
              <w:b/>
              <w:color w:val="000000"/>
            </w:rPr>
          </w:pPr>
          <w:hyperlink w:anchor="_9munosc7f5i3">
            <w:r>
              <w:rPr>
                <w:rFonts w:ascii="Times New Roman" w:eastAsia="Times New Roman" w:hAnsi="Times New Roman" w:cs="Times New Roman"/>
                <w:b/>
                <w:color w:val="000000"/>
                <w:sz w:val="24"/>
                <w:szCs w:val="24"/>
              </w:rPr>
              <w:t>DISCUSSÃO</w:t>
            </w:r>
            <w:r>
              <w:rPr>
                <w:rFonts w:ascii="Times New Roman" w:eastAsia="Times New Roman" w:hAnsi="Times New Roman" w:cs="Times New Roman"/>
                <w:b/>
                <w:color w:val="000000"/>
                <w:sz w:val="24"/>
                <w:szCs w:val="24"/>
              </w:rPr>
              <w:tab/>
              <w:t>12</w:t>
            </w:r>
          </w:hyperlink>
        </w:p>
        <w:p w14:paraId="2D0D3E61" w14:textId="77777777" w:rsidR="003B7FBE" w:rsidRDefault="00AE3682">
          <w:pPr>
            <w:widowControl w:val="0"/>
            <w:tabs>
              <w:tab w:val="right" w:pos="12000"/>
            </w:tabs>
            <w:spacing w:before="60" w:line="240" w:lineRule="auto"/>
            <w:ind w:left="360"/>
            <w:rPr>
              <w:color w:val="000000"/>
            </w:rPr>
          </w:pPr>
          <w:hyperlink w:anchor="_a8m5ts49xu4k">
            <w:r>
              <w:rPr>
                <w:rFonts w:ascii="Times New Roman" w:eastAsia="Times New Roman" w:hAnsi="Times New Roman" w:cs="Times New Roman"/>
                <w:color w:val="000000"/>
                <w:sz w:val="24"/>
                <w:szCs w:val="24"/>
              </w:rPr>
              <w:t>15. Síntese dos resultados</w:t>
            </w:r>
            <w:r>
              <w:rPr>
                <w:rFonts w:ascii="Times New Roman" w:eastAsia="Times New Roman" w:hAnsi="Times New Roman" w:cs="Times New Roman"/>
                <w:color w:val="000000"/>
                <w:sz w:val="24"/>
                <w:szCs w:val="24"/>
              </w:rPr>
              <w:tab/>
              <w:t>12</w:t>
            </w:r>
          </w:hyperlink>
        </w:p>
        <w:p w14:paraId="2D0D3E62" w14:textId="77777777" w:rsidR="003B7FBE" w:rsidRDefault="00AE3682">
          <w:pPr>
            <w:widowControl w:val="0"/>
            <w:tabs>
              <w:tab w:val="right" w:pos="12000"/>
            </w:tabs>
            <w:spacing w:before="60" w:line="240" w:lineRule="auto"/>
            <w:ind w:left="360"/>
            <w:rPr>
              <w:color w:val="000000"/>
            </w:rPr>
          </w:pPr>
          <w:hyperlink w:anchor="_chkt6jvcgpmt">
            <w:r>
              <w:rPr>
                <w:rFonts w:ascii="Times New Roman" w:eastAsia="Times New Roman" w:hAnsi="Times New Roman" w:cs="Times New Roman"/>
                <w:color w:val="000000"/>
                <w:sz w:val="24"/>
                <w:szCs w:val="24"/>
              </w:rPr>
              <w:t>16. Relações com a questão da pesquisa</w:t>
            </w:r>
            <w:r>
              <w:rPr>
                <w:rFonts w:ascii="Times New Roman" w:eastAsia="Times New Roman" w:hAnsi="Times New Roman" w:cs="Times New Roman"/>
                <w:color w:val="000000"/>
                <w:sz w:val="24"/>
                <w:szCs w:val="24"/>
              </w:rPr>
              <w:tab/>
              <w:t>12</w:t>
            </w:r>
          </w:hyperlink>
        </w:p>
        <w:p w14:paraId="2D0D3E63" w14:textId="77777777" w:rsidR="003B7FBE" w:rsidRDefault="00AE3682">
          <w:pPr>
            <w:widowControl w:val="0"/>
            <w:tabs>
              <w:tab w:val="right" w:pos="12000"/>
            </w:tabs>
            <w:spacing w:before="60" w:line="240" w:lineRule="auto"/>
            <w:ind w:left="360"/>
            <w:rPr>
              <w:color w:val="000000"/>
            </w:rPr>
          </w:pPr>
          <w:hyperlink w:anchor="_pxhslj7vb71e">
            <w:r>
              <w:rPr>
                <w:rFonts w:ascii="Times New Roman" w:eastAsia="Times New Roman" w:hAnsi="Times New Roman" w:cs="Times New Roman"/>
                <w:color w:val="000000"/>
                <w:sz w:val="24"/>
                <w:szCs w:val="24"/>
              </w:rPr>
              <w:t>17. Implicações dos resultados</w:t>
            </w:r>
            <w:r>
              <w:rPr>
                <w:rFonts w:ascii="Times New Roman" w:eastAsia="Times New Roman" w:hAnsi="Times New Roman" w:cs="Times New Roman"/>
                <w:color w:val="000000"/>
                <w:sz w:val="24"/>
                <w:szCs w:val="24"/>
              </w:rPr>
              <w:tab/>
              <w:t>13</w:t>
            </w:r>
          </w:hyperlink>
        </w:p>
        <w:p w14:paraId="2D0D3E64" w14:textId="77777777" w:rsidR="003B7FBE" w:rsidRDefault="00AE3682">
          <w:pPr>
            <w:widowControl w:val="0"/>
            <w:tabs>
              <w:tab w:val="right" w:pos="12000"/>
            </w:tabs>
            <w:spacing w:before="60" w:line="240" w:lineRule="auto"/>
            <w:ind w:left="360"/>
            <w:rPr>
              <w:color w:val="000000"/>
            </w:rPr>
          </w:pPr>
          <w:hyperlink w:anchor="_n7iqyzls5q23">
            <w:r>
              <w:rPr>
                <w:rFonts w:ascii="Times New Roman" w:eastAsia="Times New Roman" w:hAnsi="Times New Roman" w:cs="Times New Roman"/>
                <w:color w:val="000000"/>
                <w:sz w:val="24"/>
                <w:szCs w:val="24"/>
              </w:rPr>
              <w:t>18. Limitações do estudo</w:t>
            </w:r>
            <w:r>
              <w:rPr>
                <w:rFonts w:ascii="Times New Roman" w:eastAsia="Times New Roman" w:hAnsi="Times New Roman" w:cs="Times New Roman"/>
                <w:color w:val="000000"/>
                <w:sz w:val="24"/>
                <w:szCs w:val="24"/>
              </w:rPr>
              <w:tab/>
              <w:t>13</w:t>
            </w:r>
          </w:hyperlink>
        </w:p>
        <w:p w14:paraId="2D0D3E65" w14:textId="77777777" w:rsidR="003B7FBE" w:rsidRDefault="00AE3682">
          <w:pPr>
            <w:widowControl w:val="0"/>
            <w:tabs>
              <w:tab w:val="right" w:pos="12000"/>
            </w:tabs>
            <w:spacing w:before="60" w:line="240" w:lineRule="auto"/>
            <w:rPr>
              <w:b/>
              <w:color w:val="000000"/>
            </w:rPr>
          </w:pPr>
          <w:hyperlink w:anchor="_xmwgn7dcdush">
            <w:r>
              <w:rPr>
                <w:rFonts w:ascii="Times New Roman" w:eastAsia="Times New Roman" w:hAnsi="Times New Roman" w:cs="Times New Roman"/>
                <w:b/>
                <w:color w:val="000000"/>
                <w:sz w:val="24"/>
                <w:szCs w:val="24"/>
              </w:rPr>
              <w:t>CONCLUSÃO</w:t>
            </w:r>
            <w:r>
              <w:rPr>
                <w:rFonts w:ascii="Times New Roman" w:eastAsia="Times New Roman" w:hAnsi="Times New Roman" w:cs="Times New Roman"/>
                <w:b/>
                <w:color w:val="000000"/>
                <w:sz w:val="24"/>
                <w:szCs w:val="24"/>
              </w:rPr>
              <w:tab/>
              <w:t>13</w:t>
            </w:r>
          </w:hyperlink>
        </w:p>
        <w:p w14:paraId="2D0D3E66" w14:textId="77777777" w:rsidR="003B7FBE" w:rsidRDefault="00AE3682">
          <w:pPr>
            <w:widowControl w:val="0"/>
            <w:tabs>
              <w:tab w:val="right" w:pos="12000"/>
            </w:tabs>
            <w:spacing w:before="60" w:line="240" w:lineRule="auto"/>
            <w:ind w:left="360"/>
            <w:rPr>
              <w:color w:val="000000"/>
            </w:rPr>
          </w:pPr>
          <w:hyperlink w:anchor="_96lq1moxgz8g">
            <w:r>
              <w:rPr>
                <w:rFonts w:ascii="Times New Roman" w:eastAsia="Times New Roman" w:hAnsi="Times New Roman" w:cs="Times New Roman"/>
                <w:color w:val="000000"/>
                <w:sz w:val="24"/>
                <w:szCs w:val="24"/>
              </w:rPr>
              <w:t>19. Resumo dos principais pontos</w:t>
            </w:r>
            <w:r>
              <w:rPr>
                <w:rFonts w:ascii="Times New Roman" w:eastAsia="Times New Roman" w:hAnsi="Times New Roman" w:cs="Times New Roman"/>
                <w:color w:val="000000"/>
                <w:sz w:val="24"/>
                <w:szCs w:val="24"/>
              </w:rPr>
              <w:tab/>
              <w:t>13</w:t>
            </w:r>
          </w:hyperlink>
        </w:p>
        <w:p w14:paraId="2D0D3E67" w14:textId="77777777" w:rsidR="003B7FBE" w:rsidRDefault="00AE3682">
          <w:pPr>
            <w:widowControl w:val="0"/>
            <w:tabs>
              <w:tab w:val="right" w:pos="12000"/>
            </w:tabs>
            <w:spacing w:before="60" w:line="240" w:lineRule="auto"/>
            <w:rPr>
              <w:b/>
              <w:color w:val="000000"/>
            </w:rPr>
          </w:pPr>
          <w:hyperlink w:anchor="_y7dbf06sjxqr">
            <w:r>
              <w:rPr>
                <w:rFonts w:ascii="Times New Roman" w:eastAsia="Times New Roman" w:hAnsi="Times New Roman" w:cs="Times New Roman"/>
                <w:b/>
                <w:color w:val="000000"/>
                <w:sz w:val="24"/>
                <w:szCs w:val="24"/>
              </w:rPr>
              <w:t>REFERÊNCIAS BIBLIOGRÁFICAS</w:t>
            </w:r>
            <w:r>
              <w:rPr>
                <w:rFonts w:ascii="Times New Roman" w:eastAsia="Times New Roman" w:hAnsi="Times New Roman" w:cs="Times New Roman"/>
                <w:b/>
                <w:color w:val="000000"/>
                <w:sz w:val="24"/>
                <w:szCs w:val="24"/>
              </w:rPr>
              <w:tab/>
              <w:t>14</w:t>
            </w:r>
          </w:hyperlink>
          <w:r>
            <w:fldChar w:fldCharType="end"/>
          </w:r>
        </w:p>
      </w:sdtContent>
    </w:sdt>
    <w:p w14:paraId="2D0D3E68" w14:textId="77777777" w:rsidR="003B7FBE" w:rsidRDefault="00AE3682">
      <w:pPr>
        <w:jc w:val="both"/>
        <w:rPr>
          <w:rFonts w:ascii="Times New Roman" w:eastAsia="Times New Roman" w:hAnsi="Times New Roman" w:cs="Times New Roman"/>
          <w:sz w:val="24"/>
          <w:szCs w:val="24"/>
        </w:rPr>
      </w:pPr>
      <w:r>
        <w:br w:type="page"/>
      </w:r>
    </w:p>
    <w:p w14:paraId="2D0D3E69" w14:textId="77777777" w:rsidR="003B7FBE" w:rsidRDefault="00AE3682">
      <w:pPr>
        <w:pStyle w:val="Ttulo1"/>
        <w:jc w:val="both"/>
        <w:rPr>
          <w:rFonts w:ascii="Times New Roman" w:eastAsia="Times New Roman" w:hAnsi="Times New Roman" w:cs="Times New Roman"/>
        </w:rPr>
      </w:pPr>
      <w:bookmarkStart w:id="1" w:name="_vp15diitc53i" w:colFirst="0" w:colLast="0"/>
      <w:bookmarkEnd w:id="1"/>
      <w:r>
        <w:rPr>
          <w:rFonts w:ascii="Times New Roman" w:eastAsia="Times New Roman" w:hAnsi="Times New Roman" w:cs="Times New Roman"/>
        </w:rPr>
        <w:lastRenderedPageBreak/>
        <w:t>INTRODUÇÃO</w:t>
      </w:r>
    </w:p>
    <w:p w14:paraId="2D0D3E6A" w14:textId="77777777" w:rsidR="003B7FBE" w:rsidRDefault="003B7FBE">
      <w:pPr>
        <w:jc w:val="both"/>
        <w:rPr>
          <w:rFonts w:ascii="Times New Roman" w:eastAsia="Times New Roman" w:hAnsi="Times New Roman" w:cs="Times New Roman"/>
          <w:b/>
          <w:sz w:val="24"/>
          <w:szCs w:val="24"/>
        </w:rPr>
      </w:pPr>
    </w:p>
    <w:p w14:paraId="2D0D3E6B" w14:textId="77777777" w:rsidR="003B7FBE" w:rsidRDefault="00AE3682">
      <w:pPr>
        <w:pStyle w:val="Ttulo2"/>
        <w:numPr>
          <w:ilvl w:val="0"/>
          <w:numId w:val="1"/>
        </w:numPr>
        <w:jc w:val="both"/>
      </w:pPr>
      <w:bookmarkStart w:id="2" w:name="_cegvfz90ape9" w:colFirst="0" w:colLast="0"/>
      <w:bookmarkEnd w:id="2"/>
      <w:r>
        <w:rPr>
          <w:rFonts w:ascii="Times New Roman" w:eastAsia="Times New Roman" w:hAnsi="Times New Roman" w:cs="Times New Roman"/>
        </w:rPr>
        <w:t>Contexto</w:t>
      </w:r>
    </w:p>
    <w:p w14:paraId="2D0D3E6C" w14:textId="77777777" w:rsidR="003B7FBE" w:rsidRDefault="003B7FBE">
      <w:pPr>
        <w:jc w:val="both"/>
        <w:rPr>
          <w:rFonts w:ascii="Times New Roman" w:eastAsia="Times New Roman" w:hAnsi="Times New Roman" w:cs="Times New Roman"/>
          <w:sz w:val="24"/>
          <w:szCs w:val="24"/>
        </w:rPr>
      </w:pPr>
    </w:p>
    <w:p w14:paraId="2D0D3E6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Historicamente, o mercado de trabalho na América Latina tem apresentado uma das maiores taxas de desemprego do mundo, ficando atrás apenas das economias do continente africano, e a mais alta em relação a outras regiões em desenvolvimento; em 2021, de acordo com a agência de risco </w:t>
      </w:r>
      <w:proofErr w:type="spellStart"/>
      <w:r>
        <w:rPr>
          <w:rFonts w:ascii="Times New Roman" w:eastAsia="Times New Roman" w:hAnsi="Times New Roman" w:cs="Times New Roman"/>
          <w:sz w:val="24"/>
          <w:szCs w:val="24"/>
        </w:rPr>
        <w:t>Austing</w:t>
      </w:r>
      <w:proofErr w:type="spellEnd"/>
      <w:r>
        <w:rPr>
          <w:rFonts w:ascii="Times New Roman" w:eastAsia="Times New Roman" w:hAnsi="Times New Roman" w:cs="Times New Roman"/>
          <w:sz w:val="24"/>
          <w:szCs w:val="24"/>
        </w:rPr>
        <w:t xml:space="preserve"> Rating, foi registrada no Brasil a quarta maior taxa de desemprego entre as principais economias, 13,2% [1]. Fatores como a volatilidade da atividade econômica resultante da dependência de commodities e de instabilidade política, alta informalidade no mercado de trabalho e desigualdades sociais se combinam para criar desafios persistentes, como altas taxas de desemprego e subemprego.</w:t>
      </w:r>
    </w:p>
    <w:p w14:paraId="2D0D3E6E" w14:textId="77777777" w:rsidR="003B7FBE" w:rsidRDefault="003B7FBE">
      <w:pPr>
        <w:ind w:left="720"/>
        <w:jc w:val="both"/>
        <w:rPr>
          <w:rFonts w:ascii="Times New Roman" w:eastAsia="Times New Roman" w:hAnsi="Times New Roman" w:cs="Times New Roman"/>
          <w:sz w:val="24"/>
          <w:szCs w:val="24"/>
        </w:rPr>
      </w:pPr>
    </w:p>
    <w:p w14:paraId="2D0D3E6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quadro se mostra ainda mais preocupante após uma análise de indicadores de ocupação entre jovens de 14 a 24 anos de idade. Aliadas à falta de diversificação econômica, que limita a criação de empregos em setores de alto valor agregado, à rigidez das leis trabalhistas que oneram a contratação formal, à problemas de infraestrutura decorrentes de urbanização desordenada e à falta de políticas de incentivos eficazes, a deficiência do sistema educacional, que não dota os jovens recém-formados para as demandas </w:t>
      </w:r>
      <w:r>
        <w:rPr>
          <w:rFonts w:ascii="Times New Roman" w:eastAsia="Times New Roman" w:hAnsi="Times New Roman" w:cs="Times New Roman"/>
          <w:sz w:val="24"/>
          <w:szCs w:val="24"/>
        </w:rPr>
        <w:t>do mercado de trabalho modernizado, a marginalização decorrente da falta de experiência, e a localização em regiões periféricas aos grandes centros de desenvolvimento econômico, dificultam a integração econômica dos jovens no setor formal de produção. Empurrados para a informalidade, esses jovens não conseguem adquirir a experiência requerida deles para o ingresso no mercado formal, impedindo-o de quebrar esse ciclo de vulnerabilidade, e, portanto, é uma questão crucial para o fenômeno da mobilidade social.</w:t>
      </w:r>
    </w:p>
    <w:p w14:paraId="2D0D3E70" w14:textId="77777777" w:rsidR="003B7FBE" w:rsidRDefault="003B7FBE">
      <w:pPr>
        <w:ind w:left="720"/>
        <w:jc w:val="both"/>
        <w:rPr>
          <w:rFonts w:ascii="Times New Roman" w:eastAsia="Times New Roman" w:hAnsi="Times New Roman" w:cs="Times New Roman"/>
          <w:sz w:val="24"/>
          <w:szCs w:val="24"/>
        </w:rPr>
      </w:pPr>
    </w:p>
    <w:p w14:paraId="2D0D3E71"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Brasil, apesar de algumas mudanças estruturais significativas que ocorreram no setor produtivo e nas relações de trabalho, contribuindo para um aumento da formalização no mercado de trabalho a partir de 2004, a taxa de ocupação entre os jovens vem piorando significativamente desde a década de 1990. Aplicando o índice de participação relativa dos jovens entre 14 e 24 anos em postos formais de emprego desenvolvido em Filho et al. (2015) em dados da Informação Social Anual (RAIS) do Ministério do Trabalho e</w:t>
      </w:r>
      <w:r>
        <w:rPr>
          <w:rFonts w:ascii="Times New Roman" w:eastAsia="Times New Roman" w:hAnsi="Times New Roman" w:cs="Times New Roman"/>
          <w:sz w:val="24"/>
          <w:szCs w:val="24"/>
        </w:rPr>
        <w:t xml:space="preserve"> Emprego, para os anos de 1992, 2002 e 2012, estima-se uma redução de cerca de 18,55%, o que indica queda da participação juvenil no setor formal; regionalmente, o Sudeste, polo econômico significante para o país, apresentou uma redução de 21,03% no mesmo indicador.</w:t>
      </w:r>
    </w:p>
    <w:p w14:paraId="2D0D3E72" w14:textId="77777777" w:rsidR="003B7FBE" w:rsidRDefault="003B7FBE">
      <w:pPr>
        <w:ind w:left="720"/>
        <w:jc w:val="both"/>
        <w:rPr>
          <w:rFonts w:ascii="Times New Roman" w:eastAsia="Times New Roman" w:hAnsi="Times New Roman" w:cs="Times New Roman"/>
          <w:sz w:val="24"/>
          <w:szCs w:val="24"/>
        </w:rPr>
      </w:pPr>
    </w:p>
    <w:p w14:paraId="2D0D3E73"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Essa problemática, a da falta de qualificação dos jovens para o mercado de trabalho que estava sendo modernizado, foi considerada nas diversas políticas públicas direcionadas aos mais vulneráveis, que foram implementadas visando a ampliação do estoque de capital humano na economia. Pode-se elencar alguns exemplos de sucesso, como o Programa nacional de Acesso ao Ensino Técnico e ao emprego, que ofereceu cursos de </w:t>
      </w:r>
      <w:r>
        <w:rPr>
          <w:rFonts w:ascii="Times New Roman" w:eastAsia="Times New Roman" w:hAnsi="Times New Roman" w:cs="Times New Roman"/>
          <w:sz w:val="24"/>
          <w:szCs w:val="24"/>
        </w:rPr>
        <w:lastRenderedPageBreak/>
        <w:t>educação profissional e tecnológica, a partir de 2011, atingindo mais de 10 milhões de jovens; como também, o programa Brasil Jovem, lançado em 2018, que promoveu formação técnica, desenvolvimento cultural e incentivou o empreendedorismo. Esses e outros esforços baseiam-se em iniciativas do início da década de 2000, como a Lei do Aprendiz, que incentiva os empregadores a contratar jovens entre 14 e 24 anos, por meio de contratos de trabalho especial de meio período, focado em funções de aprendizagem – conhe</w:t>
      </w:r>
      <w:r>
        <w:rPr>
          <w:rFonts w:ascii="Times New Roman" w:eastAsia="Times New Roman" w:hAnsi="Times New Roman" w:cs="Times New Roman"/>
          <w:sz w:val="24"/>
          <w:szCs w:val="24"/>
        </w:rPr>
        <w:t>cido hoje como Programa Jovem Aprendiz; ademais, avaliações da eficácia dessa política social apresentam que houve elevação do emprego dos jovens, principalmente em microempresas, ressaltando a importância de incentivos ao micro empreendedorismo (simplificação tributária, acesso a crédito, incentivos à formalização, etc.). Porém, outros estudos mostram que ainda há muitos avanços a serem feitos quanto à regulamentação, muitos privilégios para trabalhadores existentes oferecem barreiras para quem entra no me</w:t>
      </w:r>
      <w:r>
        <w:rPr>
          <w:rFonts w:ascii="Times New Roman" w:eastAsia="Times New Roman" w:hAnsi="Times New Roman" w:cs="Times New Roman"/>
          <w:sz w:val="24"/>
          <w:szCs w:val="24"/>
        </w:rPr>
        <w:t>rcado (Almeida, Truman G., Packard, 2018).</w:t>
      </w:r>
    </w:p>
    <w:p w14:paraId="2D0D3E74" w14:textId="77777777" w:rsidR="003B7FBE" w:rsidRDefault="003B7FBE">
      <w:pPr>
        <w:ind w:left="720"/>
        <w:jc w:val="both"/>
        <w:rPr>
          <w:rFonts w:ascii="Times New Roman" w:eastAsia="Times New Roman" w:hAnsi="Times New Roman" w:cs="Times New Roman"/>
          <w:sz w:val="24"/>
          <w:szCs w:val="24"/>
        </w:rPr>
      </w:pPr>
    </w:p>
    <w:p w14:paraId="2D0D3E75"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explorar esses dados de ocupação, vários trabalhos têm analisado os fatores relacionados ao declínio do emprego relativo de jovens no setor formal da economia brasileira, destacando-se a preponderância da informalidade. De acordo com dados da Pesquisa Nacional por Amostra de Domicílios (PNAD) para 2011, a taxa de informalidade entre os jovens era de cerca de 16,3%, com as cidades das regiões metropolitanas do Nordeste apresentando taxas mais elevadas apesar de ter se beneficiado da melhoria do capital hu</w:t>
      </w:r>
      <w:r>
        <w:rPr>
          <w:rFonts w:ascii="Times New Roman" w:eastAsia="Times New Roman" w:hAnsi="Times New Roman" w:cs="Times New Roman"/>
          <w:sz w:val="24"/>
          <w:szCs w:val="24"/>
        </w:rPr>
        <w:t>mano entre os jovens, com o crescimento dos investimentos em educação, entre 2001 e 2008 (Filho, Silva, Queiroz, 2015). Souza (2020), por sua vez, explora alguns fatores que expliquem essa alta informalidade entre os jovens, destacando aqueles que dificultam o acesso deles ao mercado de trabalho, e reforçando o papel da alta taxa de rotatividade na manutenção dos obstáculos.  Compreende que, a transição do jovem da escola para o mercado se dá com bastante dificuldade devido à sua falta de experiência e ao s</w:t>
      </w:r>
      <w:r>
        <w:rPr>
          <w:rFonts w:ascii="Times New Roman" w:eastAsia="Times New Roman" w:hAnsi="Times New Roman" w:cs="Times New Roman"/>
          <w:sz w:val="24"/>
          <w:szCs w:val="24"/>
        </w:rPr>
        <w:t>ubdesenvolvimento de competências profissionais em geral; sem abstrair de fatores limitantes como condições econômicas instáveis, desigualdades sociais relacionadas à gênero, raça, origem, de dificuldades devidas à concentração produtiva, que afetam a disponibilidade de oportunidades de empregos formais, em meio a uma predominância de ocupações mal remuneradas, sem segurança social e do trabalho, fora das diretrizes da Consolidação das Leis do Trabalho (CLT).</w:t>
      </w:r>
    </w:p>
    <w:p w14:paraId="2D0D3E76" w14:textId="77777777" w:rsidR="003B7FBE" w:rsidRDefault="003B7FBE">
      <w:pPr>
        <w:ind w:left="720"/>
        <w:jc w:val="both"/>
        <w:rPr>
          <w:rFonts w:ascii="Times New Roman" w:eastAsia="Times New Roman" w:hAnsi="Times New Roman" w:cs="Times New Roman"/>
          <w:sz w:val="24"/>
          <w:szCs w:val="24"/>
        </w:rPr>
      </w:pPr>
    </w:p>
    <w:p w14:paraId="2D0D3E7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sua vez, as elevadas taxas de rotatividade registradas têm seu lugar na literatura econômica, pois, assim como a taxa de ocupação, expressa o grau de vulnerabilidade profissional dos jovens, que, por serem menos qualificados que outros trabalhadores, são facilmente despedidos, e\ou, por necessitar conciliar trabalho e cursos profissionalizantes, precisam trocar de emprego. Ao traçar um quadro comparativo dos padrões de movimento dos jovens e adultos no mercado de trabalho durante o período de 1996-2011,</w:t>
      </w:r>
      <w:r>
        <w:rPr>
          <w:rFonts w:ascii="Times New Roman" w:eastAsia="Times New Roman" w:hAnsi="Times New Roman" w:cs="Times New Roman"/>
          <w:sz w:val="24"/>
          <w:szCs w:val="24"/>
        </w:rPr>
        <w:t xml:space="preserve"> através de uma abordagem de fluxo, </w:t>
      </w:r>
      <w:proofErr w:type="spellStart"/>
      <w:r>
        <w:rPr>
          <w:rFonts w:ascii="Times New Roman" w:eastAsia="Times New Roman" w:hAnsi="Times New Roman" w:cs="Times New Roman"/>
          <w:sz w:val="24"/>
          <w:szCs w:val="24"/>
        </w:rPr>
        <w:t>Corseiul</w:t>
      </w:r>
      <w:proofErr w:type="spellEnd"/>
      <w:r>
        <w:rPr>
          <w:rFonts w:ascii="Times New Roman" w:eastAsia="Times New Roman" w:hAnsi="Times New Roman" w:cs="Times New Roman"/>
          <w:sz w:val="24"/>
          <w:szCs w:val="24"/>
        </w:rPr>
        <w:t xml:space="preserve"> et. al. (2014) mensura uma taxa de rotatividade relativamente maior entre os jovens, e mostra, a partir de trabalhos de outros pesquisadores, como períodos curtos no mesmo posto comprometem a aquisição de competências e construção de experiência profissional, o que reduz a </w:t>
      </w:r>
      <w:r>
        <w:rPr>
          <w:rFonts w:ascii="Times New Roman" w:eastAsia="Times New Roman" w:hAnsi="Times New Roman" w:cs="Times New Roman"/>
          <w:sz w:val="24"/>
          <w:szCs w:val="24"/>
        </w:rPr>
        <w:lastRenderedPageBreak/>
        <w:t>perspectiva de carreiras estáveis – que apresentam maior produtividade e salários, no longo prazo. Deduz-se daí o quanto a informalidade afeta a mobilidade social, que permanece estagnada enqua</w:t>
      </w:r>
      <w:r>
        <w:rPr>
          <w:rFonts w:ascii="Times New Roman" w:eastAsia="Times New Roman" w:hAnsi="Times New Roman" w:cs="Times New Roman"/>
          <w:sz w:val="24"/>
          <w:szCs w:val="24"/>
        </w:rPr>
        <w:t>nto ela aumenta, e é o que mostram os dados para a economia brasileira da década de 1990 até os dias atuais (Filho, Silva, Queiroz, 2015).</w:t>
      </w:r>
    </w:p>
    <w:p w14:paraId="2D0D3E78" w14:textId="77777777" w:rsidR="003B7FBE" w:rsidRDefault="003B7FBE">
      <w:pPr>
        <w:ind w:left="720"/>
        <w:jc w:val="both"/>
        <w:rPr>
          <w:rFonts w:ascii="Times New Roman" w:eastAsia="Times New Roman" w:hAnsi="Times New Roman" w:cs="Times New Roman"/>
          <w:sz w:val="24"/>
          <w:szCs w:val="24"/>
        </w:rPr>
      </w:pPr>
    </w:p>
    <w:p w14:paraId="2D0D3E79"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Outras pesquisas destacam a relevância da competitividade entre os próprios jovens no mercado de trabalho como fator não negligenciável para o seu sucesso no mercado de trabalho; de acordo com dados do MTE, 5,2 milhões de jovens têm disputado por poucas vagas formais disponíveis. Assim, estudos como do Pinheiro et. al. (2010) estudam os impactos do bônus demográfico pelo qual o Brasil passou na década de 2000.</w:t>
      </w:r>
    </w:p>
    <w:p w14:paraId="2D0D3E7A" w14:textId="77777777" w:rsidR="003B7FBE" w:rsidRDefault="003B7FBE">
      <w:pPr>
        <w:ind w:left="720"/>
        <w:jc w:val="both"/>
        <w:rPr>
          <w:rFonts w:ascii="Times New Roman" w:eastAsia="Times New Roman" w:hAnsi="Times New Roman" w:cs="Times New Roman"/>
          <w:sz w:val="24"/>
          <w:szCs w:val="24"/>
        </w:rPr>
      </w:pPr>
    </w:p>
    <w:p w14:paraId="2D0D3E7B" w14:textId="77777777" w:rsidR="003B7FBE" w:rsidRDefault="00AE3682">
      <w:pPr>
        <w:pStyle w:val="Ttulo2"/>
        <w:numPr>
          <w:ilvl w:val="0"/>
          <w:numId w:val="1"/>
        </w:numPr>
        <w:jc w:val="both"/>
      </w:pPr>
      <w:bookmarkStart w:id="3" w:name="_axyxiafib09v" w:colFirst="0" w:colLast="0"/>
      <w:bookmarkEnd w:id="3"/>
      <w:r>
        <w:rPr>
          <w:rFonts w:ascii="Times New Roman" w:eastAsia="Times New Roman" w:hAnsi="Times New Roman" w:cs="Times New Roman"/>
        </w:rPr>
        <w:t>Problema de Pesquisa</w:t>
      </w:r>
    </w:p>
    <w:p w14:paraId="2D0D3E7C" w14:textId="77777777" w:rsidR="003B7FBE" w:rsidRDefault="003B7FBE">
      <w:pPr>
        <w:ind w:left="1440"/>
        <w:jc w:val="both"/>
        <w:rPr>
          <w:rFonts w:ascii="Times New Roman" w:eastAsia="Times New Roman" w:hAnsi="Times New Roman" w:cs="Times New Roman"/>
          <w:sz w:val="24"/>
          <w:szCs w:val="24"/>
        </w:rPr>
      </w:pPr>
    </w:p>
    <w:p w14:paraId="2D0D3E7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 história mais recente da economia brasileira, a pandemia de COVID-19, com as medidas de restrição de contato necessárias para conter seu aprofundamento, teve efeitos drásticos sobre a atividade econômica. Trabalhadores em geral, especialmente os do setor informal, onde atividades de serviços intensivas em contato físico predominam, tiveram que paralisar seus trabalhos devido às medidas de isolamento social; a mão de obra juvenil é prevalente nesse setor. Sem explorar os choques de oferta resultantes da i</w:t>
      </w:r>
      <w:r>
        <w:rPr>
          <w:rFonts w:ascii="Times New Roman" w:eastAsia="Times New Roman" w:hAnsi="Times New Roman" w:cs="Times New Roman"/>
          <w:sz w:val="24"/>
          <w:szCs w:val="24"/>
        </w:rPr>
        <w:t xml:space="preserve">nterrupção do comércio internacional e readequação das cadeias globais de valor, algumas firmas tiveram que reduzir sua atividade, e até fechar as portas, enquanto muitas não sobreviveram ao aumento de custos e redução das receitas, e faliram. Reduções da capacidade produtiva da economia e do nível de emprego são consequências esperadas de eventos críticos como esses, em que as decisões econômicas se apresentam significativamente voláteis, ocorrendo descoordenação e quebra de ligações intersetoriais. </w:t>
      </w:r>
    </w:p>
    <w:p w14:paraId="2D0D3E7E" w14:textId="77777777" w:rsidR="003B7FBE" w:rsidRDefault="003B7FBE">
      <w:pPr>
        <w:ind w:left="720"/>
        <w:jc w:val="both"/>
        <w:rPr>
          <w:rFonts w:ascii="Times New Roman" w:eastAsia="Times New Roman" w:hAnsi="Times New Roman" w:cs="Times New Roman"/>
          <w:sz w:val="24"/>
          <w:szCs w:val="24"/>
        </w:rPr>
      </w:pPr>
    </w:p>
    <w:p w14:paraId="2D0D3E7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Uma recessão com efeitos similares (em gênero, mas não necessariamente em intensidade) foi a crise da Nova Matriz Econômica no ano de 2015; analisando o período, </w:t>
      </w:r>
      <w:proofErr w:type="spellStart"/>
      <w:r>
        <w:rPr>
          <w:rFonts w:ascii="Times New Roman" w:eastAsia="Times New Roman" w:hAnsi="Times New Roman" w:cs="Times New Roman"/>
          <w:sz w:val="24"/>
          <w:szCs w:val="24"/>
        </w:rPr>
        <w:t>Conseiul</w:t>
      </w:r>
      <w:proofErr w:type="spellEnd"/>
      <w:r>
        <w:rPr>
          <w:rFonts w:ascii="Times New Roman" w:eastAsia="Times New Roman" w:hAnsi="Times New Roman" w:cs="Times New Roman"/>
          <w:sz w:val="24"/>
          <w:szCs w:val="24"/>
        </w:rPr>
        <w:t xml:space="preserve"> et al. (2020) avalia como mudanças abruptas na economia impactam negativamente a inserção juvenil no mercado de trabalho, e mostra como isso deve a presença de fatores que tornam sua força de trabalho mais descartável em relação ao mais velhos e experientes. O trabalho também identifica como essa preterição pela força de trabalho jovem, através do canal da rotatividade, estende o período de desemprego para esse estrato da população, gerando superestimação das taxas de desemprego entre os jovens.</w:t>
      </w:r>
    </w:p>
    <w:p w14:paraId="2D0D3E80" w14:textId="77777777" w:rsidR="003B7FBE" w:rsidRDefault="003B7FBE">
      <w:pPr>
        <w:ind w:left="720"/>
        <w:jc w:val="both"/>
        <w:rPr>
          <w:rFonts w:ascii="Times New Roman" w:eastAsia="Times New Roman" w:hAnsi="Times New Roman" w:cs="Times New Roman"/>
          <w:sz w:val="24"/>
          <w:szCs w:val="24"/>
        </w:rPr>
      </w:pPr>
    </w:p>
    <w:p w14:paraId="2D0D3E81"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Análises a partir de dados recentes têm sido pessimistas quanto a recuperação da taxa de ocupação dos jovens para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apontando para mudanças estruturais nos diversos setores econômicos, nas relações trabalhistas (Branco et al., 2020), que podem dificultar ainda mais a inserção do estrato mais jovem no mercado formal.</w:t>
      </w:r>
    </w:p>
    <w:p w14:paraId="2D0D3E82" w14:textId="77777777" w:rsidR="003B7FBE" w:rsidRDefault="003B7FBE">
      <w:pPr>
        <w:ind w:left="720"/>
        <w:jc w:val="both"/>
        <w:rPr>
          <w:rFonts w:ascii="Times New Roman" w:eastAsia="Times New Roman" w:hAnsi="Times New Roman" w:cs="Times New Roman"/>
          <w:sz w:val="24"/>
          <w:szCs w:val="24"/>
        </w:rPr>
      </w:pPr>
    </w:p>
    <w:p w14:paraId="2D0D3E83" w14:textId="77777777" w:rsidR="003B7FBE" w:rsidRDefault="00AE3682">
      <w:pPr>
        <w:ind w:left="720"/>
        <w:jc w:val="both"/>
        <w:rPr>
          <w:rFonts w:ascii="Times New Roman" w:eastAsia="Times New Roman" w:hAnsi="Times New Roman" w:cs="Times New Roman"/>
          <w:sz w:val="24"/>
          <w:szCs w:val="24"/>
        </w:rPr>
      </w:pPr>
      <w:bookmarkStart w:id="4" w:name="_4668foccxpmr" w:colFirst="0" w:colLast="0"/>
      <w:bookmarkEnd w:id="4"/>
      <w:r>
        <w:rPr>
          <w:rFonts w:ascii="Times New Roman" w:eastAsia="Times New Roman" w:hAnsi="Times New Roman" w:cs="Times New Roman"/>
          <w:sz w:val="24"/>
          <w:szCs w:val="24"/>
        </w:rPr>
        <w:t xml:space="preserve">A pesquisa atual, em adição aos esforços de outros trabalhos, objetiva analisar os efeitos heterogêneos da pandemia sobre a ocupação dos jovens no mercado de trabalho, </w:t>
      </w:r>
      <w:r>
        <w:rPr>
          <w:rFonts w:ascii="Times New Roman" w:eastAsia="Times New Roman" w:hAnsi="Times New Roman" w:cs="Times New Roman"/>
          <w:sz w:val="24"/>
          <w:szCs w:val="24"/>
        </w:rPr>
        <w:lastRenderedPageBreak/>
        <w:t>extrapolando a simples análise das taxas de desemprego, estimando, a partir de dados da PNAD Contínua para o período de 2012-2022, diferenças no emprego de jovens antes, durante e após o período crítico da pandemia. Ou seja, pretende mensurar o efeito da pandemia na medida em que desviou a trajetória dos indicadores de ocupação juvenil, estimando qual seria o estado das variáveis na ausência do choque e comparando com a sua performance efetiva, algo ainda não considerado pelas pesquisas que tratam do assunt</w:t>
      </w:r>
      <w:r>
        <w:rPr>
          <w:rFonts w:ascii="Times New Roman" w:eastAsia="Times New Roman" w:hAnsi="Times New Roman" w:cs="Times New Roman"/>
          <w:sz w:val="24"/>
          <w:szCs w:val="24"/>
        </w:rPr>
        <w:t>o; isso permitirá comparar o desempenho durante a crise sanitária com a atividade pós retomada da economia, a fim de avaliar se os efeitos do choque são temporários ou se provocaram mudanças estruturais, como afirmam os estudos anteriormente citados.</w:t>
      </w:r>
    </w:p>
    <w:p w14:paraId="2D0D3E84" w14:textId="77777777" w:rsidR="003B7FBE" w:rsidRDefault="003B7FBE">
      <w:pPr>
        <w:ind w:left="720"/>
        <w:jc w:val="both"/>
        <w:rPr>
          <w:rFonts w:ascii="Times New Roman" w:eastAsia="Times New Roman" w:hAnsi="Times New Roman" w:cs="Times New Roman"/>
          <w:b/>
          <w:sz w:val="24"/>
          <w:szCs w:val="24"/>
        </w:rPr>
      </w:pPr>
    </w:p>
    <w:p w14:paraId="2D0D3E85" w14:textId="77777777" w:rsidR="003B7FBE" w:rsidRDefault="00AE3682">
      <w:pPr>
        <w:pStyle w:val="Ttulo2"/>
        <w:numPr>
          <w:ilvl w:val="0"/>
          <w:numId w:val="1"/>
        </w:numPr>
        <w:jc w:val="both"/>
      </w:pPr>
      <w:bookmarkStart w:id="5" w:name="_ogroadezj44c" w:colFirst="0" w:colLast="0"/>
      <w:bookmarkEnd w:id="5"/>
      <w:r>
        <w:rPr>
          <w:rFonts w:ascii="Times New Roman" w:eastAsia="Times New Roman" w:hAnsi="Times New Roman" w:cs="Times New Roman"/>
        </w:rPr>
        <w:t>Significância do Estudo</w:t>
      </w:r>
    </w:p>
    <w:p w14:paraId="2D0D3E86" w14:textId="77777777" w:rsidR="003B7FBE" w:rsidRDefault="003B7FBE">
      <w:pPr>
        <w:ind w:left="720"/>
        <w:jc w:val="both"/>
        <w:rPr>
          <w:rFonts w:ascii="Times New Roman" w:eastAsia="Times New Roman" w:hAnsi="Times New Roman" w:cs="Times New Roman"/>
          <w:sz w:val="24"/>
          <w:szCs w:val="24"/>
        </w:rPr>
      </w:pPr>
    </w:p>
    <w:p w14:paraId="2D0D3E8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ampliação da compreensão acerca dos impactos diversos da pandemia de COVID-19 sobre a economia, especialmente sobre o emprego de jovens em diferentes condições lança luz sobre diversos canais de transmissão de choques adversos para as variáveis macroeconômicas relevantes para o desenvolvimento econômico. No caso do emprego de jovens, a possibilidade de planejamento e implantação de políticas públicas focalizadas e eficazes para a integração deles ao mercado de trabalho é um importante mecanismo de promoçã</w:t>
      </w:r>
      <w:r>
        <w:rPr>
          <w:rFonts w:ascii="Times New Roman" w:eastAsia="Times New Roman" w:hAnsi="Times New Roman" w:cs="Times New Roman"/>
          <w:sz w:val="24"/>
          <w:szCs w:val="24"/>
        </w:rPr>
        <w:t>o da capacidade produtiva da economia, e, portanto, do crescimento sustentado. Como já discutido, a promoção do emprego entre os jovens é um forte incentivo à mobilidade social com efeitos positivos sobre as desigualdades sociais. O entendimento da extensão e intensidade do choque como motor de mudanças estruturais é necessária para criação de uma rede de proteção para amortecer impactos de crises futuras.</w:t>
      </w:r>
    </w:p>
    <w:p w14:paraId="2D0D3E88" w14:textId="77777777" w:rsidR="003B7FBE" w:rsidRDefault="003B7FBE">
      <w:pPr>
        <w:ind w:left="720"/>
        <w:jc w:val="both"/>
        <w:rPr>
          <w:rFonts w:ascii="Times New Roman" w:eastAsia="Times New Roman" w:hAnsi="Times New Roman" w:cs="Times New Roman"/>
          <w:sz w:val="24"/>
          <w:szCs w:val="24"/>
        </w:rPr>
      </w:pPr>
    </w:p>
    <w:p w14:paraId="2D0D3E89"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juventude brasileira enfrenta, historicamente, maiores dificuldades de inserção, permanência e progressão no mercado de trabalho, caracterizando um ciclo de vulnerabilidade que compromete seu desenvolvimento social e econômico. Tais dificuldades decorrem não apenas da menor experiência laboral, mas também da precariedade das condições de contratação, da informalidade, da rotatividade elevada e de desigualdades estruturais relacionadas a raça, gênero, escolaridade e território.</w:t>
      </w:r>
    </w:p>
    <w:p w14:paraId="2D0D3E8A" w14:textId="77777777" w:rsidR="003B7FBE" w:rsidRDefault="003B7FBE">
      <w:pPr>
        <w:ind w:left="720"/>
        <w:jc w:val="both"/>
        <w:rPr>
          <w:rFonts w:ascii="Times New Roman" w:eastAsia="Times New Roman" w:hAnsi="Times New Roman" w:cs="Times New Roman"/>
          <w:sz w:val="24"/>
          <w:szCs w:val="24"/>
        </w:rPr>
      </w:pPr>
    </w:p>
    <w:p w14:paraId="2D0D3E8B"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 a chegada da pandemia de COVID-19 em 2020, essas vulnerabilidades foram acentuadas. A contração abrupta da atividade econômica, o fechamento temporário de setores com alta absorção juvenil (como comércio, serviços, cultura e turismo), e a transição forçada para modalidades digitais de contratação e produção impuseram choques severos ao processo de transição ocupacional dos jovens. Dados agregados já apontavam elevações nas taxas de desemprego juvenil e na inatividade, mas não permitiam mensurar com prec</w:t>
      </w:r>
      <w:r>
        <w:rPr>
          <w:rFonts w:ascii="Times New Roman" w:eastAsia="Times New Roman" w:hAnsi="Times New Roman" w:cs="Times New Roman"/>
          <w:sz w:val="24"/>
          <w:szCs w:val="24"/>
        </w:rPr>
        <w:t>isão os mecanismos internos dessas mudanças nem suas implicações de médio prazo.</w:t>
      </w:r>
    </w:p>
    <w:p w14:paraId="2D0D3E8C" w14:textId="77777777" w:rsidR="003B7FBE" w:rsidRDefault="003B7FBE">
      <w:pPr>
        <w:ind w:left="720"/>
        <w:jc w:val="both"/>
        <w:rPr>
          <w:rFonts w:ascii="Times New Roman" w:eastAsia="Times New Roman" w:hAnsi="Times New Roman" w:cs="Times New Roman"/>
          <w:sz w:val="24"/>
          <w:szCs w:val="24"/>
        </w:rPr>
      </w:pPr>
    </w:p>
    <w:p w14:paraId="2D0D3E8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Diante desse cenário, torna-se urgente investigar os efeitos da pandemia sobre a estrutura profunda de funcionamento do mercado de trabalho juvenil, indo além das taxas agregadas. Para isso, é necessário integrar abordagens empíricas com modelos </w:t>
      </w:r>
      <w:r>
        <w:rPr>
          <w:rFonts w:ascii="Times New Roman" w:eastAsia="Times New Roman" w:hAnsi="Times New Roman" w:cs="Times New Roman"/>
          <w:sz w:val="24"/>
          <w:szCs w:val="24"/>
        </w:rPr>
        <w:lastRenderedPageBreak/>
        <w:t>teóricos capazes de capturar as fricções inerentes à busca e ao emparelhamento entre trabalhadores e vagas. O modelo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amplamente utilizado na macroeconomia do trabalho, oferece essa capacidade, permitindo interpretar taxas de desemprego, separação e contratação como equilíbrios derivados de decisões interdependentes entre trabalhadores e empresas.</w:t>
      </w:r>
    </w:p>
    <w:p w14:paraId="2D0D3E8E" w14:textId="77777777" w:rsidR="003B7FBE" w:rsidRDefault="003B7FBE">
      <w:pPr>
        <w:ind w:left="720"/>
        <w:jc w:val="both"/>
        <w:rPr>
          <w:rFonts w:ascii="Times New Roman" w:eastAsia="Times New Roman" w:hAnsi="Times New Roman" w:cs="Times New Roman"/>
          <w:sz w:val="24"/>
          <w:szCs w:val="24"/>
        </w:rPr>
      </w:pPr>
    </w:p>
    <w:p w14:paraId="2D0D3E8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presente pesquisa justifica-se, portanto, pela combinação de três fatores centrais:</w:t>
      </w:r>
    </w:p>
    <w:p w14:paraId="2D0D3E90" w14:textId="77777777" w:rsidR="003B7FBE" w:rsidRDefault="003B7FBE">
      <w:pPr>
        <w:ind w:left="720"/>
        <w:jc w:val="both"/>
        <w:rPr>
          <w:rFonts w:ascii="Times New Roman" w:eastAsia="Times New Roman" w:hAnsi="Times New Roman" w:cs="Times New Roman"/>
          <w:sz w:val="24"/>
          <w:szCs w:val="24"/>
        </w:rPr>
      </w:pPr>
    </w:p>
    <w:p w14:paraId="2D0D3E91"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necessidade analítica de compreender o impacto da pandemia com base em microdados, com detalhamento de transições, grupos sociais e dinâmicas temporais;</w:t>
      </w:r>
    </w:p>
    <w:p w14:paraId="2D0D3E92" w14:textId="77777777" w:rsidR="003B7FBE" w:rsidRDefault="003B7FBE">
      <w:pPr>
        <w:pBdr>
          <w:top w:val="nil"/>
          <w:left w:val="nil"/>
          <w:bottom w:val="nil"/>
          <w:right w:val="nil"/>
          <w:between w:val="nil"/>
        </w:pBdr>
        <w:ind w:left="1080"/>
        <w:jc w:val="both"/>
        <w:rPr>
          <w:rFonts w:ascii="Times New Roman" w:eastAsia="Times New Roman" w:hAnsi="Times New Roman" w:cs="Times New Roman"/>
          <w:color w:val="000000"/>
          <w:sz w:val="24"/>
          <w:szCs w:val="24"/>
        </w:rPr>
      </w:pPr>
    </w:p>
    <w:p w14:paraId="2D0D3E93"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relevância social e política do tema, dado o papel estratégico da juventude para o futuro da economia brasileira e a persistência de desigualdades de inserção;</w:t>
      </w:r>
    </w:p>
    <w:p w14:paraId="2D0D3E94" w14:textId="77777777" w:rsidR="003B7FBE" w:rsidRDefault="003B7FBE">
      <w:pPr>
        <w:jc w:val="both"/>
        <w:rPr>
          <w:rFonts w:ascii="Times New Roman" w:eastAsia="Times New Roman" w:hAnsi="Times New Roman" w:cs="Times New Roman"/>
          <w:sz w:val="24"/>
          <w:szCs w:val="24"/>
        </w:rPr>
      </w:pPr>
    </w:p>
    <w:p w14:paraId="2D0D3E95"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inovação metodológica, ao aplicar um modelo estrutural calibrado (DMP) aos microdados da PNAD Contínua, articulando fundamentos teóricos com evidência empírica para qualificar o debate público e acadêmico sobre emprego juvenil.</w:t>
      </w:r>
    </w:p>
    <w:p w14:paraId="2D0D3E96" w14:textId="77777777" w:rsidR="003B7FBE" w:rsidRDefault="003B7FBE">
      <w:pPr>
        <w:jc w:val="both"/>
        <w:rPr>
          <w:rFonts w:ascii="Times New Roman" w:eastAsia="Times New Roman" w:hAnsi="Times New Roman" w:cs="Times New Roman"/>
          <w:sz w:val="24"/>
          <w:szCs w:val="24"/>
        </w:rPr>
      </w:pPr>
    </w:p>
    <w:p w14:paraId="2D0D3E9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mapear as transformações no funcionamento do mercado de trabalho juvenil antes, durante e após a pandemia, este estudo oferece insumos concretos para o desenho de políticas públicas mais eficazes, direcionadas e baseadas em evidência, com vistas à melhoria da empregabilidade e à redução das desigualdades estruturais entre os jovens brasileiros.</w:t>
      </w:r>
    </w:p>
    <w:p w14:paraId="2D0D3E98" w14:textId="77777777" w:rsidR="003B7FBE" w:rsidRDefault="003B7FBE">
      <w:pPr>
        <w:ind w:left="720"/>
        <w:jc w:val="both"/>
        <w:rPr>
          <w:rFonts w:ascii="Times New Roman" w:eastAsia="Times New Roman" w:hAnsi="Times New Roman" w:cs="Times New Roman"/>
          <w:sz w:val="24"/>
          <w:szCs w:val="24"/>
        </w:rPr>
      </w:pPr>
    </w:p>
    <w:p w14:paraId="2D0D3E99" w14:textId="77777777" w:rsidR="003B7FBE" w:rsidRDefault="00AE3682">
      <w:pPr>
        <w:pStyle w:val="Ttulo2"/>
        <w:numPr>
          <w:ilvl w:val="0"/>
          <w:numId w:val="1"/>
        </w:numPr>
        <w:jc w:val="both"/>
      </w:pPr>
      <w:bookmarkStart w:id="6" w:name="_f32y5qm5ep2a" w:colFirst="0" w:colLast="0"/>
      <w:bookmarkEnd w:id="6"/>
      <w:r>
        <w:rPr>
          <w:rFonts w:ascii="Times New Roman" w:eastAsia="Times New Roman" w:hAnsi="Times New Roman" w:cs="Times New Roman"/>
        </w:rPr>
        <w:t>Perguntas da Pesquisa</w:t>
      </w:r>
    </w:p>
    <w:p w14:paraId="2D0D3E9A" w14:textId="77777777" w:rsidR="003B7FBE" w:rsidRDefault="003B7FBE">
      <w:pPr>
        <w:ind w:left="720"/>
        <w:jc w:val="both"/>
        <w:rPr>
          <w:rFonts w:ascii="Times New Roman" w:eastAsia="Times New Roman" w:hAnsi="Times New Roman" w:cs="Times New Roman"/>
          <w:sz w:val="24"/>
          <w:szCs w:val="24"/>
        </w:rPr>
      </w:pPr>
    </w:p>
    <w:p w14:paraId="2D0D3E9B"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sz w:val="24"/>
          <w:szCs w:val="24"/>
        </w:rPr>
        <w:t xml:space="preserve">Quais as probabilidades de os jovens estarem desempregados </w:t>
      </w:r>
      <w:r>
        <w:rPr>
          <w:rFonts w:ascii="Times New Roman" w:eastAsia="Times New Roman" w:hAnsi="Times New Roman" w:cs="Times New Roman"/>
          <w:color w:val="000000"/>
          <w:sz w:val="24"/>
          <w:szCs w:val="24"/>
        </w:rPr>
        <w:t>antes, durante e no pós-pandemia, controladas por diferentes caraterísticas (sexo, raça, escolaridade e origem)?</w:t>
      </w:r>
    </w:p>
    <w:p w14:paraId="2D0D3E9C" w14:textId="77777777" w:rsidR="003B7FBE" w:rsidRDefault="003B7FBE">
      <w:pPr>
        <w:pBdr>
          <w:top w:val="nil"/>
          <w:left w:val="nil"/>
          <w:bottom w:val="nil"/>
          <w:right w:val="nil"/>
          <w:between w:val="nil"/>
        </w:pBdr>
        <w:ind w:left="1080"/>
        <w:jc w:val="both"/>
        <w:rPr>
          <w:rFonts w:ascii="Times New Roman" w:eastAsia="Times New Roman" w:hAnsi="Times New Roman" w:cs="Times New Roman"/>
          <w:sz w:val="24"/>
          <w:szCs w:val="24"/>
        </w:rPr>
      </w:pPr>
    </w:p>
    <w:p w14:paraId="2D0D3E9D"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color w:val="000000"/>
          <w:sz w:val="24"/>
          <w:szCs w:val="24"/>
        </w:rPr>
        <w:t>Qual características tornam os jovens mais vulneráveis ao choque decorrente da pandemia?</w:t>
      </w:r>
    </w:p>
    <w:p w14:paraId="2D0D3E9E" w14:textId="77777777" w:rsidR="003B7FBE" w:rsidRDefault="003B7FBE">
      <w:pPr>
        <w:pBdr>
          <w:top w:val="nil"/>
          <w:left w:val="nil"/>
          <w:bottom w:val="nil"/>
          <w:right w:val="nil"/>
          <w:between w:val="nil"/>
        </w:pBdr>
        <w:jc w:val="both"/>
        <w:rPr>
          <w:rFonts w:ascii="Times New Roman" w:eastAsia="Times New Roman" w:hAnsi="Times New Roman" w:cs="Times New Roman"/>
          <w:sz w:val="24"/>
          <w:szCs w:val="24"/>
        </w:rPr>
      </w:pPr>
    </w:p>
    <w:p w14:paraId="2D0D3E9F" w14:textId="77777777" w:rsidR="003B7FBE" w:rsidRDefault="00AE3682">
      <w:pPr>
        <w:numPr>
          <w:ilvl w:val="0"/>
          <w:numId w:val="2"/>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No caso de deterioração das condições de empregabilidade juvenil, há uma melhora no pós-pandemia, ou persistência?</w:t>
      </w:r>
    </w:p>
    <w:p w14:paraId="2D0D3EA0" w14:textId="77777777" w:rsidR="003B7FBE" w:rsidRDefault="00AE3682">
      <w:pPr>
        <w:rPr>
          <w:rFonts w:ascii="Times New Roman" w:eastAsia="Times New Roman" w:hAnsi="Times New Roman" w:cs="Times New Roman"/>
          <w:color w:val="000000"/>
          <w:sz w:val="24"/>
          <w:szCs w:val="24"/>
        </w:rPr>
      </w:pPr>
      <w:r>
        <w:br w:type="page"/>
      </w:r>
    </w:p>
    <w:p w14:paraId="2D0D3EA1" w14:textId="77777777" w:rsidR="003B7FBE" w:rsidRDefault="00AE3682">
      <w:pPr>
        <w:pStyle w:val="Ttulo2"/>
        <w:numPr>
          <w:ilvl w:val="0"/>
          <w:numId w:val="1"/>
        </w:numPr>
        <w:jc w:val="both"/>
      </w:pPr>
      <w:bookmarkStart w:id="7" w:name="_gfvg8inrrvko" w:colFirst="0" w:colLast="0"/>
      <w:bookmarkEnd w:id="7"/>
      <w:r>
        <w:rPr>
          <w:rFonts w:ascii="Times New Roman" w:eastAsia="Times New Roman" w:hAnsi="Times New Roman" w:cs="Times New Roman"/>
        </w:rPr>
        <w:lastRenderedPageBreak/>
        <w:t>Objetivos</w:t>
      </w:r>
    </w:p>
    <w:p w14:paraId="2D0D3EA2" w14:textId="77777777" w:rsidR="003B7FBE" w:rsidRDefault="003B7FBE"/>
    <w:p w14:paraId="2D0D3EA3"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 Geral:</w:t>
      </w:r>
    </w:p>
    <w:p w14:paraId="2D0D3EA4" w14:textId="77777777" w:rsidR="003B7FBE" w:rsidRDefault="003B7FBE">
      <w:pPr>
        <w:rPr>
          <w:rFonts w:ascii="Times New Roman" w:eastAsia="Times New Roman" w:hAnsi="Times New Roman" w:cs="Times New Roman"/>
          <w:sz w:val="24"/>
          <w:szCs w:val="24"/>
        </w:rPr>
      </w:pPr>
    </w:p>
    <w:p w14:paraId="2D0D3EA5"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Investigar os efeitos da pandemia de COVID-19 sobre o mercado de trabalho juvenil brasileiro, analisando as mudanças nas probabilidades de transição ocupacional, nas desigualdades de acesso ao emprego formal e na estrutura de emparelhamento entre jovens e vagas, com base em microdados da PNAD Contínua Trimestral e dados administrativos do Novo CAGED, à luz do modelo teórico de busca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w:t>
      </w:r>
    </w:p>
    <w:p w14:paraId="2D0D3EA6" w14:textId="77777777" w:rsidR="003B7FBE" w:rsidRDefault="003B7FBE">
      <w:pPr>
        <w:rPr>
          <w:rFonts w:ascii="Times New Roman" w:eastAsia="Times New Roman" w:hAnsi="Times New Roman" w:cs="Times New Roman"/>
          <w:sz w:val="24"/>
          <w:szCs w:val="24"/>
        </w:rPr>
      </w:pPr>
    </w:p>
    <w:p w14:paraId="2D0D3EA7"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Específicos:</w:t>
      </w:r>
    </w:p>
    <w:p w14:paraId="2D0D3EA8" w14:textId="77777777" w:rsidR="003B7FBE" w:rsidRDefault="003B7FBE">
      <w:pPr>
        <w:rPr>
          <w:rFonts w:ascii="Times New Roman" w:eastAsia="Times New Roman" w:hAnsi="Times New Roman" w:cs="Times New Roman"/>
          <w:sz w:val="24"/>
          <w:szCs w:val="24"/>
        </w:rPr>
      </w:pPr>
    </w:p>
    <w:p w14:paraId="2D0D3EA9"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Construir matrizes de transição ocupacional à </w:t>
      </w:r>
      <w:proofErr w:type="spellStart"/>
      <w:r>
        <w:rPr>
          <w:rFonts w:ascii="Times New Roman" w:eastAsia="Times New Roman" w:hAnsi="Times New Roman" w:cs="Times New Roman"/>
          <w:sz w:val="24"/>
          <w:szCs w:val="24"/>
        </w:rPr>
        <w:t>la</w:t>
      </w:r>
      <w:proofErr w:type="spellEnd"/>
      <w:r>
        <w:rPr>
          <w:rFonts w:ascii="Times New Roman" w:eastAsia="Times New Roman" w:hAnsi="Times New Roman" w:cs="Times New Roman"/>
          <w:sz w:val="24"/>
          <w:szCs w:val="24"/>
        </w:rPr>
        <w:t xml:space="preserve"> Markov, com base em microdados da PNAD Contínua, para estimar as probabilidades condicionais de permanência ou saída do desemprego entre os jovens (14–29 anos), segmentadas por período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pandemia e pós-pandemia).</w:t>
      </w:r>
    </w:p>
    <w:p w14:paraId="2D0D3EAA" w14:textId="77777777" w:rsidR="003B7FBE" w:rsidRDefault="003B7FBE">
      <w:pPr>
        <w:rPr>
          <w:rFonts w:ascii="Times New Roman" w:eastAsia="Times New Roman" w:hAnsi="Times New Roman" w:cs="Times New Roman"/>
          <w:sz w:val="24"/>
          <w:szCs w:val="24"/>
        </w:rPr>
      </w:pPr>
    </w:p>
    <w:p w14:paraId="2D0D3EAB"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Mensurar os efeitos heterogêneos da pandemia sobre a transição ocupacional dos jovens, aplicando regressões logísticas e modelos de Diferenças-em-Diferenças (DIF-in-DIF) com interações para identificar os impactos diferenciados por sexo, raça, escolaridade e localização geográfica.</w:t>
      </w:r>
    </w:p>
    <w:p w14:paraId="2D0D3EAC" w14:textId="77777777" w:rsidR="003B7FBE" w:rsidRDefault="003B7FBE">
      <w:pPr>
        <w:rPr>
          <w:rFonts w:ascii="Times New Roman" w:eastAsia="Times New Roman" w:hAnsi="Times New Roman" w:cs="Times New Roman"/>
          <w:sz w:val="24"/>
          <w:szCs w:val="24"/>
        </w:rPr>
      </w:pPr>
    </w:p>
    <w:p w14:paraId="2D0D3EAD"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Estimar a eficiência do emparelhamento entre trabalhadores e vagas, por meio da função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do tipo Cobb-Douglas, identificando choques de eficiência e desalinhamentos estruturais no mercado de trabalho juvenil ao longo do período analisado.</w:t>
      </w:r>
    </w:p>
    <w:p w14:paraId="2D0D3EAE" w14:textId="77777777" w:rsidR="003B7FBE" w:rsidRDefault="003B7FBE">
      <w:pPr>
        <w:rPr>
          <w:rFonts w:ascii="Times New Roman" w:eastAsia="Times New Roman" w:hAnsi="Times New Roman" w:cs="Times New Roman"/>
          <w:sz w:val="24"/>
          <w:szCs w:val="24"/>
        </w:rPr>
      </w:pPr>
    </w:p>
    <w:p w14:paraId="2D0D3EAF"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Aplicar e calibrar o modelo estrutural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em equilíbrio estacionário, utilizando os parâmetros empíricos estimados (taxas de desemprego, separação,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para calcular a produtividade, salários de barganha e custo de manutenção de vaga para o mercado de jovens.</w:t>
      </w:r>
    </w:p>
    <w:p w14:paraId="2D0D3EB0" w14:textId="77777777" w:rsidR="003B7FBE" w:rsidRDefault="003B7FBE">
      <w:pPr>
        <w:rPr>
          <w:rFonts w:ascii="Times New Roman" w:eastAsia="Times New Roman" w:hAnsi="Times New Roman" w:cs="Times New Roman"/>
          <w:sz w:val="24"/>
          <w:szCs w:val="24"/>
        </w:rPr>
      </w:pPr>
    </w:p>
    <w:p w14:paraId="2D0D3EB1"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Comparar os equilíbrios estruturais estimados para os períodos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pandemia e pós-pandemia, avaliando se houve retorno às condições anteriores, reestruturação do mercado ou persistência dos efeitos do choque pandêmico sobre a juventude.</w:t>
      </w:r>
    </w:p>
    <w:p w14:paraId="2D0D3EB2" w14:textId="77777777" w:rsidR="003B7FBE" w:rsidRDefault="003B7FBE">
      <w:pPr>
        <w:rPr>
          <w:rFonts w:ascii="Times New Roman" w:eastAsia="Times New Roman" w:hAnsi="Times New Roman" w:cs="Times New Roman"/>
          <w:sz w:val="24"/>
          <w:szCs w:val="24"/>
        </w:rPr>
      </w:pPr>
    </w:p>
    <w:p w14:paraId="2D0D3EB3"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 o debate sobre políticas públicas de inserção juvenil no mercado de trabalho, com base em evidências teóricas e empíricas sobre as fricções, desigualdades e oportunidades que caracterizam a trajetória ocupacional da juventude brasileira.</w:t>
      </w:r>
    </w:p>
    <w:p w14:paraId="2D0D3EB4" w14:textId="77777777" w:rsidR="003B7FBE" w:rsidRDefault="003B7FBE">
      <w:pPr>
        <w:ind w:left="720"/>
        <w:jc w:val="both"/>
        <w:rPr>
          <w:rFonts w:ascii="Times New Roman" w:eastAsia="Times New Roman" w:hAnsi="Times New Roman" w:cs="Times New Roman"/>
          <w:sz w:val="24"/>
          <w:szCs w:val="24"/>
        </w:rPr>
      </w:pPr>
    </w:p>
    <w:p w14:paraId="2D0D3EB5" w14:textId="77777777" w:rsidR="003B7FBE" w:rsidRDefault="00AE3682">
      <w:pPr>
        <w:pStyle w:val="Ttulo2"/>
        <w:numPr>
          <w:ilvl w:val="0"/>
          <w:numId w:val="1"/>
        </w:numPr>
        <w:jc w:val="both"/>
      </w:pPr>
      <w:bookmarkStart w:id="8" w:name="_cx4ekaekf09b" w:colFirst="0" w:colLast="0"/>
      <w:bookmarkEnd w:id="8"/>
      <w:r>
        <w:rPr>
          <w:rFonts w:ascii="Times New Roman" w:eastAsia="Times New Roman" w:hAnsi="Times New Roman" w:cs="Times New Roman"/>
        </w:rPr>
        <w:lastRenderedPageBreak/>
        <w:t>Declaração da Tese</w:t>
      </w:r>
    </w:p>
    <w:p w14:paraId="2D0D3EB6" w14:textId="77777777" w:rsidR="003B7FBE" w:rsidRDefault="003B7FBE">
      <w:pPr>
        <w:pStyle w:val="Ttulo1"/>
        <w:jc w:val="both"/>
        <w:rPr>
          <w:rFonts w:ascii="Times New Roman" w:eastAsia="Times New Roman" w:hAnsi="Times New Roman" w:cs="Times New Roman"/>
        </w:rPr>
      </w:pPr>
    </w:p>
    <w:p w14:paraId="2D0D3EB7" w14:textId="77777777" w:rsidR="003B7FBE" w:rsidRDefault="00AE3682">
      <w:pPr>
        <w:ind w:left="720"/>
        <w:jc w:val="both"/>
        <w:rPr>
          <w:rFonts w:ascii="Times New Roman" w:eastAsia="Times New Roman" w:hAnsi="Times New Roman" w:cs="Times New Roman"/>
          <w:sz w:val="24"/>
          <w:szCs w:val="24"/>
        </w:rPr>
      </w:pPr>
      <w:bookmarkStart w:id="9" w:name="_4spodxq3til1" w:colFirst="0" w:colLast="0"/>
      <w:bookmarkEnd w:id="9"/>
      <w:r>
        <w:rPr>
          <w:rFonts w:ascii="Times New Roman" w:eastAsia="Times New Roman" w:hAnsi="Times New Roman" w:cs="Times New Roman"/>
          <w:sz w:val="24"/>
          <w:szCs w:val="24"/>
        </w:rPr>
        <w:t>A pandemia reduziu ainda mais as chances, já declinantes, de jovens de baixa qualificação serem empregados no mercado de trabalho formal no Brasil. E, suas consequências, a desestruturação das cadeias produtivas, a digitalização de processos de trabalho e introdução de formas mais sofisticadas de tecnologia desencadeou mudanças profundas no mercado de trabalho.</w:t>
      </w:r>
    </w:p>
    <w:p w14:paraId="2D0D3EB8" w14:textId="77777777" w:rsidR="003B7FBE" w:rsidRDefault="003B7FBE">
      <w:pPr>
        <w:ind w:left="720"/>
        <w:jc w:val="both"/>
        <w:rPr>
          <w:rFonts w:ascii="Times New Roman" w:eastAsia="Times New Roman" w:hAnsi="Times New Roman" w:cs="Times New Roman"/>
          <w:sz w:val="24"/>
          <w:szCs w:val="24"/>
        </w:rPr>
      </w:pPr>
    </w:p>
    <w:p w14:paraId="2D0D3EB9" w14:textId="77777777" w:rsidR="003B7FBE" w:rsidRDefault="003B7FBE">
      <w:pPr>
        <w:jc w:val="both"/>
        <w:rPr>
          <w:rFonts w:ascii="Times New Roman" w:eastAsia="Times New Roman" w:hAnsi="Times New Roman" w:cs="Times New Roman"/>
          <w:b/>
          <w:sz w:val="24"/>
          <w:szCs w:val="24"/>
        </w:rPr>
      </w:pPr>
    </w:p>
    <w:p w14:paraId="2D0D3EBA" w14:textId="77777777" w:rsidR="003B7FBE" w:rsidRDefault="00AE3682">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REVISÃO DA LITERATURA</w:t>
      </w:r>
    </w:p>
    <w:p w14:paraId="2D0D3EBB" w14:textId="77777777" w:rsidR="003B7FBE" w:rsidRDefault="003B7FBE">
      <w:pPr>
        <w:jc w:val="both"/>
        <w:rPr>
          <w:rFonts w:ascii="Times New Roman" w:eastAsia="Times New Roman" w:hAnsi="Times New Roman" w:cs="Times New Roman"/>
          <w:b/>
          <w:sz w:val="24"/>
          <w:szCs w:val="24"/>
        </w:rPr>
      </w:pPr>
    </w:p>
    <w:p w14:paraId="2D0D3EBC" w14:textId="77777777" w:rsidR="003B7FBE" w:rsidRDefault="00AE3682">
      <w:pPr>
        <w:pStyle w:val="Ttulo2"/>
        <w:numPr>
          <w:ilvl w:val="0"/>
          <w:numId w:val="1"/>
        </w:numPr>
        <w:jc w:val="both"/>
      </w:pPr>
      <w:bookmarkStart w:id="10" w:name="_nefyzm1zjtwh" w:colFirst="0" w:colLast="0"/>
      <w:bookmarkEnd w:id="10"/>
      <w:r>
        <w:rPr>
          <w:rFonts w:ascii="Times New Roman" w:eastAsia="Times New Roman" w:hAnsi="Times New Roman" w:cs="Times New Roman"/>
        </w:rPr>
        <w:t>Referencial Teórico</w:t>
      </w:r>
    </w:p>
    <w:p w14:paraId="2D0D3EBD" w14:textId="77777777" w:rsidR="003B7FBE" w:rsidRDefault="003B7FBE">
      <w:pPr>
        <w:pStyle w:val="Ttulo2"/>
        <w:ind w:firstLine="360"/>
        <w:jc w:val="both"/>
        <w:rPr>
          <w:rFonts w:ascii="Times New Roman" w:eastAsia="Times New Roman" w:hAnsi="Times New Roman" w:cs="Times New Roman"/>
        </w:rPr>
      </w:pPr>
      <w:bookmarkStart w:id="11" w:name="_vvo1l2a27t" w:colFirst="0" w:colLast="0"/>
      <w:bookmarkEnd w:id="11"/>
    </w:p>
    <w:p w14:paraId="2D0D3EBE"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aprofundamento das desigualdades pré-existentes antes da pandemia levou vários círculos de investigação nas ciências sociais a medir o impacto da crise na qualidade de vida, especialmente nas fontes de rendimento. Utilizando dados sociodemográficos coletados em pesquisa transversal, Andrade et al. (2024) analisaram dados de perda de emprego durante a pandemia de COVID-19 no país, controlando vários fatores, e descobriram que os trabalhadores mais jovens e com menor escolaridade, especialmente as mulheres,</w:t>
      </w:r>
      <w:r>
        <w:rPr>
          <w:rFonts w:ascii="Times New Roman" w:eastAsia="Times New Roman" w:hAnsi="Times New Roman" w:cs="Times New Roman"/>
          <w:sz w:val="24"/>
          <w:szCs w:val="24"/>
        </w:rPr>
        <w:t xml:space="preserve"> enfrentavam as taxas de desemprego mais elevadas. Utilizando a regressão OLS nos dados da PNAD, Camargo e </w:t>
      </w:r>
      <w:proofErr w:type="spellStart"/>
      <w:r>
        <w:rPr>
          <w:rFonts w:ascii="Times New Roman" w:eastAsia="Times New Roman" w:hAnsi="Times New Roman" w:cs="Times New Roman"/>
          <w:sz w:val="24"/>
          <w:szCs w:val="24"/>
        </w:rPr>
        <w:t>Tessmann</w:t>
      </w:r>
      <w:proofErr w:type="spellEnd"/>
      <w:r>
        <w:rPr>
          <w:rFonts w:ascii="Times New Roman" w:eastAsia="Times New Roman" w:hAnsi="Times New Roman" w:cs="Times New Roman"/>
          <w:sz w:val="24"/>
          <w:szCs w:val="24"/>
        </w:rPr>
        <w:t xml:space="preserve"> (2023) investigaram este impacto no emprego jovem, descobrindo uma variabilidade significativa nas perdas de emprego entre este segmento populacional, com a conclusão de que os grupos de baixa renda per capita sofreram mais. Nessa linha, estudos como os de </w:t>
      </w:r>
      <w:proofErr w:type="spellStart"/>
      <w:r>
        <w:rPr>
          <w:rFonts w:ascii="Times New Roman" w:eastAsia="Times New Roman" w:hAnsi="Times New Roman" w:cs="Times New Roman"/>
          <w:sz w:val="24"/>
          <w:szCs w:val="24"/>
        </w:rPr>
        <w:t>Javaroni</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Lehfeld</w:t>
      </w:r>
      <w:proofErr w:type="spellEnd"/>
      <w:r>
        <w:rPr>
          <w:rFonts w:ascii="Times New Roman" w:eastAsia="Times New Roman" w:hAnsi="Times New Roman" w:cs="Times New Roman"/>
          <w:sz w:val="24"/>
          <w:szCs w:val="24"/>
        </w:rPr>
        <w:t xml:space="preserve"> (2023) ampliaram seu foco para investigar os efeitos persistentes do choque econômico e social causado pela pandemia, de</w:t>
      </w:r>
      <w:r>
        <w:rPr>
          <w:rFonts w:ascii="Times New Roman" w:eastAsia="Times New Roman" w:hAnsi="Times New Roman" w:cs="Times New Roman"/>
          <w:sz w:val="24"/>
          <w:szCs w:val="24"/>
        </w:rPr>
        <w:t xml:space="preserve">stacando a exacerbação das taxas de abandono escolar e das condições de trabalho precárias, que persistem entre os jovens negros e pardos de baixa renda. Como apontam Guimarães e Mendes (2022), esses fatores amplificam a informalidade no mercado de trabalho e o desalento em períodos de restrição social. É o que mostram os dados da PNAD Contínua do 1º trimestre de 2024, analisados ​​por Feijó e </w:t>
      </w:r>
      <w:proofErr w:type="spellStart"/>
      <w:r>
        <w:rPr>
          <w:rFonts w:ascii="Times New Roman" w:eastAsia="Times New Roman" w:hAnsi="Times New Roman" w:cs="Times New Roman"/>
          <w:sz w:val="24"/>
          <w:szCs w:val="24"/>
        </w:rPr>
        <w:t>Peruchetti</w:t>
      </w:r>
      <w:proofErr w:type="spellEnd"/>
      <w:r>
        <w:rPr>
          <w:rFonts w:ascii="Times New Roman" w:eastAsia="Times New Roman" w:hAnsi="Times New Roman" w:cs="Times New Roman"/>
          <w:sz w:val="24"/>
          <w:szCs w:val="24"/>
        </w:rPr>
        <w:t xml:space="preserve"> (2024); a taxa de participação dos jovens permanece abaixo dos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 xml:space="preserve">-pandemia, apesar de uma forte </w:t>
      </w:r>
      <w:r>
        <w:rPr>
          <w:rFonts w:ascii="Times New Roman" w:eastAsia="Times New Roman" w:hAnsi="Times New Roman" w:cs="Times New Roman"/>
          <w:sz w:val="24"/>
          <w:szCs w:val="24"/>
        </w:rPr>
        <w:t>melhoria no mercado de trabalho nesse mesmo ano, com níveis mais baixos nas regiões Norte e Nordeste do país.</w:t>
      </w:r>
    </w:p>
    <w:p w14:paraId="2D0D3EBF" w14:textId="77777777" w:rsidR="003B7FBE" w:rsidRDefault="003B7FBE">
      <w:pPr>
        <w:ind w:left="708"/>
        <w:jc w:val="both"/>
        <w:rPr>
          <w:rFonts w:ascii="Times New Roman" w:eastAsia="Times New Roman" w:hAnsi="Times New Roman" w:cs="Times New Roman"/>
          <w:sz w:val="24"/>
          <w:szCs w:val="24"/>
        </w:rPr>
      </w:pPr>
    </w:p>
    <w:p w14:paraId="2D0D3EC0"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literatura sobre o mercado de trabalho juvenil destaca sua condição estrutural de vulnerabilidade frente aos processos de inserção, permanência e mobilidade ocupacional. Jovens, sobretudo aqueles de escolaridade média ou inferior, são desproporcionalmente representados entre os desempregados, os trabalhadores informais e os subutilizados, o que configura um padrão persistente de desvantagem (Pastore, 2019). Esses desafios são agravados por fatores interseccionais, como gênero, raça e território, e por uma</w:t>
      </w:r>
      <w:r>
        <w:rPr>
          <w:rFonts w:ascii="Times New Roman" w:eastAsia="Times New Roman" w:hAnsi="Times New Roman" w:cs="Times New Roman"/>
          <w:sz w:val="24"/>
          <w:szCs w:val="24"/>
        </w:rPr>
        <w:t xml:space="preserve"> dinâmica produtiva que muitas vezes exclui os mais jovens dos setores de maior qualidade ocupacional (Guimarães et al., 2021).</w:t>
      </w:r>
    </w:p>
    <w:p w14:paraId="2D0D3EC1" w14:textId="77777777" w:rsidR="003B7FBE" w:rsidRDefault="003B7FBE">
      <w:pPr>
        <w:ind w:left="708"/>
        <w:jc w:val="both"/>
        <w:rPr>
          <w:rFonts w:ascii="Times New Roman" w:eastAsia="Times New Roman" w:hAnsi="Times New Roman" w:cs="Times New Roman"/>
          <w:sz w:val="24"/>
          <w:szCs w:val="24"/>
        </w:rPr>
      </w:pPr>
    </w:p>
    <w:p w14:paraId="2D0D3EC2"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 ponto de vista analítico, a abordagem tradicional baseada em modelos neoclássicos de oferta e demanda mostra-se insuficiente para compreender as fricções específicas que caracterizam o processo de busca e alocação de trabalhadores no mundo real. Por essa razão, a literatura passou a incorporar modelos de </w:t>
      </w:r>
      <w:proofErr w:type="spellStart"/>
      <w:r>
        <w:rPr>
          <w:rFonts w:ascii="Times New Roman" w:eastAsia="Times New Roman" w:hAnsi="Times New Roman" w:cs="Times New Roman"/>
          <w:sz w:val="24"/>
          <w:szCs w:val="24"/>
        </w:rPr>
        <w:t>search</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que reconhecem a existência de custos informacionais, tempo de espera, assimetrias de informação e decisões estratégicas entre empresas e trabalhadores.</w:t>
      </w:r>
    </w:p>
    <w:p w14:paraId="2D0D3EC3" w14:textId="77777777" w:rsidR="003B7FBE" w:rsidRDefault="003B7FBE">
      <w:pPr>
        <w:ind w:left="708"/>
        <w:jc w:val="both"/>
        <w:rPr>
          <w:rFonts w:ascii="Times New Roman" w:eastAsia="Times New Roman" w:hAnsi="Times New Roman" w:cs="Times New Roman"/>
          <w:sz w:val="24"/>
          <w:szCs w:val="24"/>
        </w:rPr>
      </w:pPr>
    </w:p>
    <w:p w14:paraId="2D0D3EC4"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modelo seminal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(Diamond, 1982; Mortensen, 1982;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1985;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formaliza essa interação por meio de uma função de emparelhamento agregada, que relaciona o número de encontros bem-sucedidos entre trabalhadores e vagas às quantidades relativas de desempregados e postos disponíveis. No equilíbrio, a taxa de desemprego é determinada pela interação entre a taxa de separação (s) e a taxa de contratação (f), que por sua vez depende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w:t>
      </w:r>
      <w:r>
        <w:rPr>
          <w:rFonts w:ascii="Cambria Math" w:eastAsia="Cambria Math" w:hAnsi="Cambria Math" w:cs="Cambria Math"/>
          <w:sz w:val="24"/>
          <w:szCs w:val="24"/>
        </w:rPr>
        <w:t>𝜃</w:t>
      </w:r>
      <w:r>
        <w:rPr>
          <w:rFonts w:ascii="Times New Roman" w:eastAsia="Times New Roman" w:hAnsi="Times New Roman" w:cs="Times New Roman"/>
          <w:sz w:val="24"/>
          <w:szCs w:val="24"/>
        </w:rPr>
        <w:t>), ou seja, da razão entre vagas abertas e n</w:t>
      </w:r>
      <w:r>
        <w:rPr>
          <w:rFonts w:ascii="Times New Roman" w:eastAsia="Times New Roman" w:hAnsi="Times New Roman" w:cs="Times New Roman"/>
          <w:sz w:val="24"/>
          <w:szCs w:val="24"/>
        </w:rPr>
        <w:t>úmero de desempregados.</w:t>
      </w:r>
    </w:p>
    <w:p w14:paraId="2D0D3EC5" w14:textId="77777777" w:rsidR="003B7FBE" w:rsidRDefault="003B7FBE">
      <w:pPr>
        <w:ind w:left="708"/>
        <w:jc w:val="both"/>
        <w:rPr>
          <w:rFonts w:ascii="Times New Roman" w:eastAsia="Times New Roman" w:hAnsi="Times New Roman" w:cs="Times New Roman"/>
          <w:sz w:val="24"/>
          <w:szCs w:val="24"/>
        </w:rPr>
      </w:pPr>
    </w:p>
    <w:p w14:paraId="2D0D3EC6"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versão estacionária do modelo, adotada nesta pesquisa, permite investigar a estrutura de incentivos e custos envolvidos na contratação de jovens, bem como simular o impacto de choques exógenos (como a pandemia) sobre as condições de equilíbrio. A função de barganha de Nash, incorporada ao modelo, define os salários como resultado de uma negociação entre empresas e trabalhadores, ponderada por seus respectivos poderes de barganha (</w:t>
      </w:r>
      <w:r>
        <w:rPr>
          <w:rFonts w:ascii="Cambria Math" w:eastAsia="Cambria Math" w:hAnsi="Cambria Math" w:cs="Cambria Math"/>
          <w:sz w:val="24"/>
          <w:szCs w:val="24"/>
        </w:rPr>
        <w:t>𝛽</w:t>
      </w:r>
      <w:r>
        <w:rPr>
          <w:rFonts w:ascii="Times New Roman" w:eastAsia="Times New Roman" w:hAnsi="Times New Roman" w:cs="Times New Roman"/>
          <w:sz w:val="24"/>
          <w:szCs w:val="24"/>
        </w:rPr>
        <w:t xml:space="preserve">) e pelos valores alternativos disponíveis (valor de fora, </w:t>
      </w:r>
      <w:r>
        <w:rPr>
          <w:rFonts w:ascii="Cambria Math" w:eastAsia="Cambria Math" w:hAnsi="Cambria Math" w:cs="Cambria Math"/>
          <w:sz w:val="24"/>
          <w:szCs w:val="24"/>
        </w:rPr>
        <w:t>𝑧</w:t>
      </w:r>
      <w:r>
        <w:rPr>
          <w:rFonts w:ascii="Times New Roman" w:eastAsia="Times New Roman" w:hAnsi="Times New Roman" w:cs="Times New Roman"/>
          <w:sz w:val="24"/>
          <w:szCs w:val="24"/>
        </w:rPr>
        <w:t>).</w:t>
      </w:r>
    </w:p>
    <w:p w14:paraId="2D0D3EC7" w14:textId="77777777" w:rsidR="003B7FBE" w:rsidRDefault="003B7FBE">
      <w:pPr>
        <w:ind w:left="708"/>
        <w:jc w:val="both"/>
        <w:rPr>
          <w:rFonts w:ascii="Times New Roman" w:eastAsia="Times New Roman" w:hAnsi="Times New Roman" w:cs="Times New Roman"/>
          <w:sz w:val="24"/>
          <w:szCs w:val="24"/>
        </w:rPr>
      </w:pPr>
    </w:p>
    <w:p w14:paraId="2D0D3EC8"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Estudos como </w:t>
      </w:r>
      <w:proofErr w:type="spellStart"/>
      <w:r>
        <w:rPr>
          <w:rFonts w:ascii="Times New Roman" w:eastAsia="Times New Roman" w:hAnsi="Times New Roman" w:cs="Times New Roman"/>
          <w:sz w:val="24"/>
          <w:szCs w:val="24"/>
        </w:rPr>
        <w:t>Acemoglu</w:t>
      </w:r>
      <w:proofErr w:type="spellEnd"/>
      <w:r>
        <w:rPr>
          <w:rFonts w:ascii="Times New Roman" w:eastAsia="Times New Roman" w:hAnsi="Times New Roman" w:cs="Times New Roman"/>
          <w:sz w:val="24"/>
          <w:szCs w:val="24"/>
        </w:rPr>
        <w:t xml:space="preserve"> (2001) e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demonstram que choques macroeconômicos podem gerar efeitos persistentes sobre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sobre o próprio nível estrutural de desemprego, fenômeno conhecido como histerese. A pandemia de COVID-19 pode ser interpretada, nesse contexto, como um choque de múltiplas frentes: sanitário, econômico, informacional e institucional. Seus efeitos, portanto, não se restringem ao aumento conjuntural do desemprego, mas podem afetar permanentemente os parâmetros que regem</w:t>
      </w:r>
      <w:r>
        <w:rPr>
          <w:rFonts w:ascii="Times New Roman" w:eastAsia="Times New Roman" w:hAnsi="Times New Roman" w:cs="Times New Roman"/>
          <w:sz w:val="24"/>
          <w:szCs w:val="24"/>
        </w:rPr>
        <w:t xml:space="preserve"> o funcionamento do mercado de trabalho.</w:t>
      </w:r>
    </w:p>
    <w:p w14:paraId="2D0D3EC9" w14:textId="77777777" w:rsidR="003B7FBE" w:rsidRDefault="003B7FBE">
      <w:pPr>
        <w:ind w:left="708"/>
        <w:jc w:val="both"/>
        <w:rPr>
          <w:rFonts w:ascii="Times New Roman" w:eastAsia="Times New Roman" w:hAnsi="Times New Roman" w:cs="Times New Roman"/>
          <w:sz w:val="24"/>
          <w:szCs w:val="24"/>
        </w:rPr>
      </w:pPr>
    </w:p>
    <w:p w14:paraId="2D0D3ECA"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literatura brasileira sobre juventude e trabalho reconhece que o acesso ao emprego formal depende não apenas de qualificações individuais, mas também da existência de mecanismos eficientes de intermediação (Carneiro &amp; </w:t>
      </w:r>
      <w:proofErr w:type="spellStart"/>
      <w:r>
        <w:rPr>
          <w:rFonts w:ascii="Times New Roman" w:eastAsia="Times New Roman" w:hAnsi="Times New Roman" w:cs="Times New Roman"/>
          <w:sz w:val="24"/>
          <w:szCs w:val="24"/>
        </w:rPr>
        <w:t>Arbache</w:t>
      </w:r>
      <w:proofErr w:type="spellEnd"/>
      <w:r>
        <w:rPr>
          <w:rFonts w:ascii="Times New Roman" w:eastAsia="Times New Roman" w:hAnsi="Times New Roman" w:cs="Times New Roman"/>
          <w:sz w:val="24"/>
          <w:szCs w:val="24"/>
        </w:rPr>
        <w:t>, 2003), de políticas públicas ativas (MTE, 2021) e de redes sociais ou institucionais que reduzam o custo da busca. A pesquisa aqui apresentada contribui com esse debate ao quantificar, com base empírica robusta, os impactos da pandemia sobre o emparelhamento entre jovens e empregos no Brasil, articulando as desigualdades observadas a um arcabouço teórico macroeconômico formalizado.</w:t>
      </w:r>
    </w:p>
    <w:p w14:paraId="2D0D3ECB" w14:textId="77777777" w:rsidR="003B7FBE" w:rsidRDefault="003B7FBE">
      <w:pPr>
        <w:ind w:left="708"/>
        <w:jc w:val="both"/>
        <w:rPr>
          <w:rFonts w:ascii="Times New Roman" w:eastAsia="Times New Roman" w:hAnsi="Times New Roman" w:cs="Times New Roman"/>
          <w:sz w:val="24"/>
          <w:szCs w:val="24"/>
        </w:rPr>
      </w:pPr>
    </w:p>
    <w:p w14:paraId="2D0D3ECC"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isso, o referencial teórico do projeto oferece suporte tanto para a construção das hipóteses empíricas (impactos heterogêneos, fricções persistentes, mudança estrutural) quanto para a interpretação dos resultados dos modelos estatísticos e estruturais, consolidando uma abordagem que integra macroeconomia do trabalho, </w:t>
      </w:r>
      <w:proofErr w:type="spellStart"/>
      <w:r>
        <w:rPr>
          <w:rFonts w:ascii="Times New Roman" w:eastAsia="Times New Roman" w:hAnsi="Times New Roman" w:cs="Times New Roman"/>
          <w:sz w:val="24"/>
          <w:szCs w:val="24"/>
        </w:rPr>
        <w:t>microeconometria</w:t>
      </w:r>
      <w:proofErr w:type="spellEnd"/>
      <w:r>
        <w:rPr>
          <w:rFonts w:ascii="Times New Roman" w:eastAsia="Times New Roman" w:hAnsi="Times New Roman" w:cs="Times New Roman"/>
          <w:sz w:val="24"/>
          <w:szCs w:val="24"/>
        </w:rPr>
        <w:t xml:space="preserve"> aplicada e análise de política pública.</w:t>
      </w:r>
    </w:p>
    <w:p w14:paraId="2D0D3ECD" w14:textId="77777777" w:rsidR="003B7FBE" w:rsidRDefault="003B7FBE">
      <w:pPr>
        <w:ind w:left="708"/>
        <w:jc w:val="both"/>
        <w:rPr>
          <w:rFonts w:ascii="Times New Roman" w:eastAsia="Times New Roman" w:hAnsi="Times New Roman" w:cs="Times New Roman"/>
          <w:sz w:val="24"/>
          <w:szCs w:val="24"/>
        </w:rPr>
      </w:pPr>
    </w:p>
    <w:p w14:paraId="2D0D3ECE" w14:textId="77777777" w:rsidR="003B7FBE" w:rsidRDefault="00AE3682">
      <w:pPr>
        <w:ind w:left="-283"/>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Quadro Comparativo</w:t>
      </w:r>
    </w:p>
    <w:p w14:paraId="2D0D3ECF" w14:textId="77777777" w:rsidR="003B7FBE" w:rsidRDefault="003B7FBE">
      <w:pPr>
        <w:jc w:val="both"/>
        <w:rPr>
          <w:rFonts w:ascii="Times New Roman" w:eastAsia="Times New Roman" w:hAnsi="Times New Roman" w:cs="Times New Roman"/>
          <w:b/>
          <w:sz w:val="24"/>
          <w:szCs w:val="24"/>
        </w:rPr>
      </w:pPr>
    </w:p>
    <w:tbl>
      <w:tblPr>
        <w:tblStyle w:val="a"/>
        <w:tblW w:w="11130" w:type="dxa"/>
        <w:tblInd w:w="-9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2115"/>
        <w:gridCol w:w="2085"/>
        <w:gridCol w:w="1710"/>
        <w:gridCol w:w="1815"/>
        <w:gridCol w:w="1755"/>
      </w:tblGrid>
      <w:tr w:rsidR="003B7FBE" w14:paraId="2D0D3EDB" w14:textId="77777777">
        <w:tc>
          <w:tcPr>
            <w:tcW w:w="1650" w:type="dxa"/>
            <w:shd w:val="clear" w:color="auto" w:fill="auto"/>
            <w:tcMar>
              <w:top w:w="100" w:type="dxa"/>
              <w:left w:w="100" w:type="dxa"/>
              <w:bottom w:w="100" w:type="dxa"/>
              <w:right w:w="100" w:type="dxa"/>
            </w:tcMar>
          </w:tcPr>
          <w:p w14:paraId="2D0D3ED0" w14:textId="77777777" w:rsidR="003B7FBE" w:rsidRDefault="003B7FBE">
            <w:pPr>
              <w:widowControl w:val="0"/>
              <w:pBdr>
                <w:top w:val="nil"/>
                <w:left w:val="nil"/>
                <w:bottom w:val="nil"/>
                <w:right w:val="nil"/>
                <w:between w:val="nil"/>
              </w:pBdr>
              <w:spacing w:line="240" w:lineRule="auto"/>
              <w:ind w:left="-850"/>
              <w:jc w:val="both"/>
              <w:rPr>
                <w:rFonts w:ascii="Times New Roman" w:eastAsia="Times New Roman" w:hAnsi="Times New Roman" w:cs="Times New Roman"/>
                <w:b/>
                <w:sz w:val="24"/>
                <w:szCs w:val="24"/>
              </w:rPr>
            </w:pPr>
          </w:p>
        </w:tc>
        <w:tc>
          <w:tcPr>
            <w:tcW w:w="2115" w:type="dxa"/>
            <w:shd w:val="clear" w:color="auto" w:fill="auto"/>
            <w:tcMar>
              <w:top w:w="100" w:type="dxa"/>
              <w:left w:w="100" w:type="dxa"/>
              <w:bottom w:w="100" w:type="dxa"/>
              <w:right w:w="100" w:type="dxa"/>
            </w:tcMar>
          </w:tcPr>
          <w:p w14:paraId="2D0D3ED1"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BCB</w:t>
            </w:r>
          </w:p>
          <w:p w14:paraId="2D0D3ED2"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(2013)</w:t>
            </w:r>
          </w:p>
        </w:tc>
        <w:tc>
          <w:tcPr>
            <w:tcW w:w="2085" w:type="dxa"/>
            <w:shd w:val="clear" w:color="auto" w:fill="auto"/>
            <w:tcMar>
              <w:top w:w="100" w:type="dxa"/>
              <w:left w:w="100" w:type="dxa"/>
              <w:bottom w:w="100" w:type="dxa"/>
              <w:right w:w="100" w:type="dxa"/>
            </w:tcMar>
          </w:tcPr>
          <w:p w14:paraId="2D0D3ED3"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Andrade e tal.</w:t>
            </w:r>
          </w:p>
          <w:p w14:paraId="2D0D3ED4"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(2024)</w:t>
            </w:r>
          </w:p>
        </w:tc>
        <w:tc>
          <w:tcPr>
            <w:tcW w:w="1710" w:type="dxa"/>
            <w:shd w:val="clear" w:color="auto" w:fill="auto"/>
            <w:tcMar>
              <w:top w:w="100" w:type="dxa"/>
              <w:left w:w="100" w:type="dxa"/>
              <w:bottom w:w="100" w:type="dxa"/>
              <w:right w:w="100" w:type="dxa"/>
            </w:tcMar>
          </w:tcPr>
          <w:p w14:paraId="2D0D3ED5"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Camargo e </w:t>
            </w:r>
            <w:proofErr w:type="spellStart"/>
            <w:r>
              <w:rPr>
                <w:rFonts w:ascii="Times New Roman" w:eastAsia="Times New Roman" w:hAnsi="Times New Roman" w:cs="Times New Roman"/>
                <w:b/>
                <w:sz w:val="24"/>
                <w:szCs w:val="24"/>
              </w:rPr>
              <w:t>Tessmann</w:t>
            </w:r>
            <w:proofErr w:type="spellEnd"/>
          </w:p>
          <w:p w14:paraId="2D0D3ED6"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(2023)</w:t>
            </w:r>
          </w:p>
        </w:tc>
        <w:tc>
          <w:tcPr>
            <w:tcW w:w="1815" w:type="dxa"/>
            <w:shd w:val="clear" w:color="auto" w:fill="auto"/>
            <w:tcMar>
              <w:top w:w="100" w:type="dxa"/>
              <w:left w:w="100" w:type="dxa"/>
              <w:bottom w:w="100" w:type="dxa"/>
              <w:right w:w="100" w:type="dxa"/>
            </w:tcMar>
          </w:tcPr>
          <w:p w14:paraId="2D0D3ED7"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Guimarães e Mendes</w:t>
            </w:r>
          </w:p>
          <w:p w14:paraId="2D0D3ED8"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(2022)</w:t>
            </w:r>
          </w:p>
        </w:tc>
        <w:tc>
          <w:tcPr>
            <w:tcW w:w="1755" w:type="dxa"/>
            <w:shd w:val="clear" w:color="auto" w:fill="auto"/>
            <w:tcMar>
              <w:top w:w="100" w:type="dxa"/>
              <w:left w:w="100" w:type="dxa"/>
              <w:bottom w:w="100" w:type="dxa"/>
              <w:right w:w="100" w:type="dxa"/>
            </w:tcMar>
          </w:tcPr>
          <w:p w14:paraId="2D0D3ED9"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Feijó e </w:t>
            </w:r>
            <w:proofErr w:type="spellStart"/>
            <w:r>
              <w:rPr>
                <w:rFonts w:ascii="Times New Roman" w:eastAsia="Times New Roman" w:hAnsi="Times New Roman" w:cs="Times New Roman"/>
                <w:b/>
                <w:sz w:val="24"/>
                <w:szCs w:val="24"/>
              </w:rPr>
              <w:t>Peruchetti</w:t>
            </w:r>
            <w:proofErr w:type="spellEnd"/>
          </w:p>
          <w:p w14:paraId="2D0D3EDA"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(2024)</w:t>
            </w:r>
          </w:p>
        </w:tc>
      </w:tr>
      <w:tr w:rsidR="003B7FBE" w14:paraId="2D0D3EE2" w14:textId="77777777">
        <w:tc>
          <w:tcPr>
            <w:tcW w:w="1650" w:type="dxa"/>
            <w:shd w:val="clear" w:color="auto" w:fill="auto"/>
            <w:tcMar>
              <w:top w:w="100" w:type="dxa"/>
              <w:left w:w="100" w:type="dxa"/>
              <w:bottom w:w="100" w:type="dxa"/>
              <w:right w:w="100" w:type="dxa"/>
            </w:tcMar>
          </w:tcPr>
          <w:p w14:paraId="2D0D3EDC"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Instituição de pesquisa</w:t>
            </w:r>
          </w:p>
        </w:tc>
        <w:tc>
          <w:tcPr>
            <w:tcW w:w="2115" w:type="dxa"/>
            <w:shd w:val="clear" w:color="auto" w:fill="auto"/>
            <w:tcMar>
              <w:top w:w="100" w:type="dxa"/>
              <w:left w:w="100" w:type="dxa"/>
              <w:bottom w:w="100" w:type="dxa"/>
              <w:right w:w="100" w:type="dxa"/>
            </w:tcMar>
          </w:tcPr>
          <w:p w14:paraId="2D0D3EDD"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BCB</w:t>
            </w:r>
          </w:p>
        </w:tc>
        <w:tc>
          <w:tcPr>
            <w:tcW w:w="2085" w:type="dxa"/>
            <w:shd w:val="clear" w:color="auto" w:fill="auto"/>
            <w:tcMar>
              <w:top w:w="100" w:type="dxa"/>
              <w:left w:w="100" w:type="dxa"/>
              <w:bottom w:w="100" w:type="dxa"/>
              <w:right w:w="100" w:type="dxa"/>
            </w:tcMar>
          </w:tcPr>
          <w:p w14:paraId="2D0D3EDE"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UFSCar</w:t>
            </w:r>
          </w:p>
        </w:tc>
        <w:tc>
          <w:tcPr>
            <w:tcW w:w="1710" w:type="dxa"/>
            <w:shd w:val="clear" w:color="auto" w:fill="auto"/>
            <w:tcMar>
              <w:top w:w="100" w:type="dxa"/>
              <w:left w:w="100" w:type="dxa"/>
              <w:bottom w:w="100" w:type="dxa"/>
              <w:right w:w="100" w:type="dxa"/>
            </w:tcMar>
          </w:tcPr>
          <w:p w14:paraId="2D0D3EDF"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IDP</w:t>
            </w:r>
          </w:p>
        </w:tc>
        <w:tc>
          <w:tcPr>
            <w:tcW w:w="1815" w:type="dxa"/>
            <w:shd w:val="clear" w:color="auto" w:fill="auto"/>
            <w:tcMar>
              <w:top w:w="100" w:type="dxa"/>
              <w:left w:w="100" w:type="dxa"/>
              <w:bottom w:w="100" w:type="dxa"/>
              <w:right w:w="100" w:type="dxa"/>
            </w:tcMar>
          </w:tcPr>
          <w:p w14:paraId="2D0D3EE0"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PUC Rio</w:t>
            </w:r>
          </w:p>
        </w:tc>
        <w:tc>
          <w:tcPr>
            <w:tcW w:w="1755" w:type="dxa"/>
            <w:shd w:val="clear" w:color="auto" w:fill="auto"/>
            <w:tcMar>
              <w:top w:w="100" w:type="dxa"/>
              <w:left w:w="100" w:type="dxa"/>
              <w:bottom w:w="100" w:type="dxa"/>
              <w:right w:w="100" w:type="dxa"/>
            </w:tcMar>
          </w:tcPr>
          <w:p w14:paraId="2D0D3EE1"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FGV IBRE</w:t>
            </w:r>
          </w:p>
        </w:tc>
      </w:tr>
      <w:tr w:rsidR="003B7FBE" w14:paraId="2D0D3EEA" w14:textId="77777777">
        <w:tc>
          <w:tcPr>
            <w:tcW w:w="1650" w:type="dxa"/>
            <w:shd w:val="clear" w:color="auto" w:fill="auto"/>
            <w:tcMar>
              <w:top w:w="100" w:type="dxa"/>
              <w:left w:w="100" w:type="dxa"/>
              <w:bottom w:w="100" w:type="dxa"/>
              <w:right w:w="100" w:type="dxa"/>
            </w:tcMar>
          </w:tcPr>
          <w:p w14:paraId="2D0D3EE3"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Metodologia</w:t>
            </w:r>
          </w:p>
        </w:tc>
        <w:tc>
          <w:tcPr>
            <w:tcW w:w="2115" w:type="dxa"/>
            <w:shd w:val="clear" w:color="auto" w:fill="auto"/>
            <w:tcMar>
              <w:top w:w="100" w:type="dxa"/>
              <w:left w:w="100" w:type="dxa"/>
              <w:bottom w:w="100" w:type="dxa"/>
              <w:right w:w="100" w:type="dxa"/>
            </w:tcMar>
          </w:tcPr>
          <w:p w14:paraId="2D0D3EE4"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Simulação de número de beneficiários em diferentes cenários a partir de uma matriz de transição obtida com emprego de dados da PME em um modelo de Cadeia de Markov</w:t>
            </w:r>
          </w:p>
        </w:tc>
        <w:tc>
          <w:tcPr>
            <w:tcW w:w="2085" w:type="dxa"/>
            <w:shd w:val="clear" w:color="auto" w:fill="auto"/>
            <w:tcMar>
              <w:top w:w="100" w:type="dxa"/>
              <w:left w:w="100" w:type="dxa"/>
              <w:bottom w:w="100" w:type="dxa"/>
              <w:right w:w="100" w:type="dxa"/>
            </w:tcMar>
          </w:tcPr>
          <w:p w14:paraId="2D0D3EE5"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Estudo transversal on-line com questionário sociodemográfico e análise de regressão logística binomial para estimativa de associação</w:t>
            </w:r>
          </w:p>
        </w:tc>
        <w:tc>
          <w:tcPr>
            <w:tcW w:w="1710" w:type="dxa"/>
            <w:shd w:val="clear" w:color="auto" w:fill="auto"/>
            <w:tcMar>
              <w:top w:w="100" w:type="dxa"/>
              <w:left w:w="100" w:type="dxa"/>
              <w:bottom w:w="100" w:type="dxa"/>
              <w:right w:w="100" w:type="dxa"/>
            </w:tcMar>
          </w:tcPr>
          <w:p w14:paraId="2D0D3EE6" w14:textId="77777777" w:rsidR="003B7FBE" w:rsidRDefault="00AE3682">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Análise de dados da PNAD com aplicação de regressão OLS</w:t>
            </w:r>
          </w:p>
          <w:p w14:paraId="2D0D3EE7" w14:textId="77777777" w:rsidR="003B7FBE" w:rsidRDefault="003B7FBE">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p>
        </w:tc>
        <w:tc>
          <w:tcPr>
            <w:tcW w:w="1815" w:type="dxa"/>
            <w:shd w:val="clear" w:color="auto" w:fill="auto"/>
            <w:tcMar>
              <w:top w:w="100" w:type="dxa"/>
              <w:left w:w="100" w:type="dxa"/>
              <w:bottom w:w="100" w:type="dxa"/>
              <w:right w:w="100" w:type="dxa"/>
            </w:tcMar>
          </w:tcPr>
          <w:p w14:paraId="2D0D3EE8"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bibliográfica e análise documental</w:t>
            </w:r>
          </w:p>
        </w:tc>
        <w:tc>
          <w:tcPr>
            <w:tcW w:w="1755" w:type="dxa"/>
            <w:shd w:val="clear" w:color="auto" w:fill="auto"/>
            <w:tcMar>
              <w:top w:w="100" w:type="dxa"/>
              <w:left w:w="100" w:type="dxa"/>
              <w:bottom w:w="100" w:type="dxa"/>
              <w:right w:w="100" w:type="dxa"/>
            </w:tcMar>
          </w:tcPr>
          <w:p w14:paraId="2D0D3EE9"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Análise de dados da PNAD Contínua e dos indicadores do mercado de trabalho</w:t>
            </w:r>
          </w:p>
        </w:tc>
      </w:tr>
      <w:tr w:rsidR="003B7FBE" w14:paraId="2D0D3EF1" w14:textId="77777777">
        <w:tc>
          <w:tcPr>
            <w:tcW w:w="1650" w:type="dxa"/>
            <w:shd w:val="clear" w:color="auto" w:fill="auto"/>
            <w:tcMar>
              <w:top w:w="100" w:type="dxa"/>
              <w:left w:w="100" w:type="dxa"/>
              <w:bottom w:w="100" w:type="dxa"/>
              <w:right w:w="100" w:type="dxa"/>
            </w:tcMar>
          </w:tcPr>
          <w:p w14:paraId="2D0D3EEB"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Conclusões</w:t>
            </w:r>
          </w:p>
        </w:tc>
        <w:tc>
          <w:tcPr>
            <w:tcW w:w="2115" w:type="dxa"/>
            <w:shd w:val="clear" w:color="auto" w:fill="auto"/>
            <w:tcMar>
              <w:top w:w="100" w:type="dxa"/>
              <w:left w:w="100" w:type="dxa"/>
              <w:bottom w:w="100" w:type="dxa"/>
              <w:right w:w="100" w:type="dxa"/>
            </w:tcMar>
          </w:tcPr>
          <w:p w14:paraId="2D0D3EEC"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Conseguiu-se estimar um número de beneficiários próximo aos dados observados, comprovando a tese de que houve aumento dele</w:t>
            </w:r>
          </w:p>
        </w:tc>
        <w:tc>
          <w:tcPr>
            <w:tcW w:w="2085" w:type="dxa"/>
            <w:shd w:val="clear" w:color="auto" w:fill="auto"/>
            <w:tcMar>
              <w:top w:w="100" w:type="dxa"/>
              <w:left w:w="100" w:type="dxa"/>
              <w:bottom w:w="100" w:type="dxa"/>
              <w:right w:w="100" w:type="dxa"/>
            </w:tcMar>
          </w:tcPr>
          <w:p w14:paraId="2D0D3EED" w14:textId="77777777" w:rsidR="003B7FBE" w:rsidRDefault="00AE3682">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Os trabalhadores mais jovens e com menos escolaridade foram os que mais perderam seus empregos</w:t>
            </w:r>
          </w:p>
        </w:tc>
        <w:tc>
          <w:tcPr>
            <w:tcW w:w="1710" w:type="dxa"/>
            <w:shd w:val="clear" w:color="auto" w:fill="auto"/>
            <w:tcMar>
              <w:top w:w="100" w:type="dxa"/>
              <w:left w:w="100" w:type="dxa"/>
              <w:bottom w:w="100" w:type="dxa"/>
              <w:right w:w="100" w:type="dxa"/>
            </w:tcMar>
          </w:tcPr>
          <w:p w14:paraId="2D0D3EEE" w14:textId="77777777" w:rsidR="003B7FBE" w:rsidRDefault="00AE3682">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impacto da pandemia sobre o desemprego juvenil varia muito de acordo com a renda e o sexo, com as mulheres sendo as mais afetadas</w:t>
            </w:r>
          </w:p>
        </w:tc>
        <w:tc>
          <w:tcPr>
            <w:tcW w:w="1815" w:type="dxa"/>
            <w:shd w:val="clear" w:color="auto" w:fill="auto"/>
            <w:tcMar>
              <w:top w:w="100" w:type="dxa"/>
              <w:left w:w="100" w:type="dxa"/>
              <w:bottom w:w="100" w:type="dxa"/>
              <w:right w:w="100" w:type="dxa"/>
            </w:tcMar>
          </w:tcPr>
          <w:p w14:paraId="2D0D3EEF"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pandemia teve papel na intensificação da precarização do trabalho juvenil, aumento de desemprego e informalidade, exacerbando as vulnerabilidades preexistentes</w:t>
            </w:r>
          </w:p>
        </w:tc>
        <w:tc>
          <w:tcPr>
            <w:tcW w:w="1755" w:type="dxa"/>
            <w:shd w:val="clear" w:color="auto" w:fill="auto"/>
            <w:tcMar>
              <w:top w:w="100" w:type="dxa"/>
              <w:left w:w="100" w:type="dxa"/>
              <w:bottom w:w="100" w:type="dxa"/>
              <w:right w:w="100" w:type="dxa"/>
            </w:tcMar>
          </w:tcPr>
          <w:p w14:paraId="2D0D3EF0"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Observou-se diminuição da participação dos jovens, com maiores índices de desemprego nas regiões Norte e Nordeste, especialmente por estarem concentrados no setor informal, o mais afetado pela pandemia</w:t>
            </w:r>
          </w:p>
        </w:tc>
      </w:tr>
      <w:tr w:rsidR="003B7FBE" w14:paraId="2D0D3EF8" w14:textId="77777777">
        <w:tc>
          <w:tcPr>
            <w:tcW w:w="1650" w:type="dxa"/>
            <w:shd w:val="clear" w:color="auto" w:fill="auto"/>
            <w:tcMar>
              <w:top w:w="100" w:type="dxa"/>
              <w:left w:w="100" w:type="dxa"/>
              <w:bottom w:w="100" w:type="dxa"/>
              <w:right w:w="100" w:type="dxa"/>
            </w:tcMar>
          </w:tcPr>
          <w:p w14:paraId="2D0D3EF2"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Contribuições</w:t>
            </w:r>
          </w:p>
        </w:tc>
        <w:tc>
          <w:tcPr>
            <w:tcW w:w="2115" w:type="dxa"/>
            <w:shd w:val="clear" w:color="auto" w:fill="auto"/>
            <w:tcMar>
              <w:top w:w="100" w:type="dxa"/>
              <w:left w:w="100" w:type="dxa"/>
              <w:bottom w:w="100" w:type="dxa"/>
              <w:right w:w="100" w:type="dxa"/>
            </w:tcMar>
          </w:tcPr>
          <w:p w14:paraId="2D0D3EF3"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Inovação na análise quantitativa com a abordagem baseada em Cadeias de Markov, compreendendo as dinâmicas do mercado de trabalho</w:t>
            </w:r>
          </w:p>
        </w:tc>
        <w:tc>
          <w:tcPr>
            <w:tcW w:w="2085" w:type="dxa"/>
            <w:shd w:val="clear" w:color="auto" w:fill="auto"/>
            <w:tcMar>
              <w:top w:w="100" w:type="dxa"/>
              <w:left w:w="100" w:type="dxa"/>
              <w:bottom w:w="100" w:type="dxa"/>
              <w:right w:w="100" w:type="dxa"/>
            </w:tcMar>
          </w:tcPr>
          <w:p w14:paraId="2D0D3EF4"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Análises dos efeitos imediatos ao choque da covid-19 sobre a ocupação dos mais jovens</w:t>
            </w:r>
          </w:p>
        </w:tc>
        <w:tc>
          <w:tcPr>
            <w:tcW w:w="1710" w:type="dxa"/>
            <w:shd w:val="clear" w:color="auto" w:fill="auto"/>
            <w:tcMar>
              <w:top w:w="100" w:type="dxa"/>
              <w:left w:w="100" w:type="dxa"/>
              <w:bottom w:w="100" w:type="dxa"/>
              <w:right w:w="100" w:type="dxa"/>
            </w:tcMar>
          </w:tcPr>
          <w:p w14:paraId="2D0D3EF5"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Identificação do impacto heterogêneo da covid-19 sobre o desemprego no Brasil, com destaque para os fatores renda e sexo</w:t>
            </w:r>
          </w:p>
        </w:tc>
        <w:tc>
          <w:tcPr>
            <w:tcW w:w="1815" w:type="dxa"/>
            <w:shd w:val="clear" w:color="auto" w:fill="auto"/>
            <w:tcMar>
              <w:top w:w="100" w:type="dxa"/>
              <w:left w:w="100" w:type="dxa"/>
              <w:bottom w:w="100" w:type="dxa"/>
              <w:right w:w="100" w:type="dxa"/>
            </w:tcMar>
          </w:tcPr>
          <w:p w14:paraId="2D0D3EF6"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Evidencia a importância de políticas que promovam a inserção qualificada dos jovens no mercado de trabalho, assegurem os direitos trabalhistas e </w:t>
            </w:r>
            <w:r>
              <w:rPr>
                <w:rFonts w:ascii="Times New Roman" w:eastAsia="Times New Roman" w:hAnsi="Times New Roman" w:cs="Times New Roman"/>
                <w:sz w:val="24"/>
                <w:szCs w:val="24"/>
              </w:rPr>
              <w:lastRenderedPageBreak/>
              <w:t>condições dignas de trabalho</w:t>
            </w:r>
          </w:p>
        </w:tc>
        <w:tc>
          <w:tcPr>
            <w:tcW w:w="1755" w:type="dxa"/>
            <w:shd w:val="clear" w:color="auto" w:fill="auto"/>
            <w:tcMar>
              <w:top w:w="100" w:type="dxa"/>
              <w:left w:w="100" w:type="dxa"/>
              <w:bottom w:w="100" w:type="dxa"/>
              <w:right w:w="100" w:type="dxa"/>
            </w:tcMar>
          </w:tcPr>
          <w:p w14:paraId="2D0D3EF7" w14:textId="77777777" w:rsidR="003B7FBE" w:rsidRDefault="00AE3682">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Destaque das regiões com maiores desafios, de forma segmentada, subsidiando a formulação de políticas públicas direcionadas a jovens que </w:t>
            </w:r>
            <w:r>
              <w:rPr>
                <w:rFonts w:ascii="Times New Roman" w:eastAsia="Times New Roman" w:hAnsi="Times New Roman" w:cs="Times New Roman"/>
                <w:sz w:val="24"/>
                <w:szCs w:val="24"/>
              </w:rPr>
              <w:lastRenderedPageBreak/>
              <w:t>sofrem desafios específicos</w:t>
            </w:r>
          </w:p>
        </w:tc>
      </w:tr>
    </w:tbl>
    <w:p w14:paraId="2D0D3EF9" w14:textId="77777777" w:rsidR="003B7FBE" w:rsidRDefault="003B7FBE">
      <w:pPr>
        <w:ind w:left="708"/>
        <w:jc w:val="both"/>
        <w:rPr>
          <w:rFonts w:ascii="Times New Roman" w:eastAsia="Times New Roman" w:hAnsi="Times New Roman" w:cs="Times New Roman"/>
          <w:b/>
          <w:sz w:val="24"/>
          <w:szCs w:val="24"/>
        </w:rPr>
      </w:pPr>
    </w:p>
    <w:p w14:paraId="2D0D3EFA" w14:textId="77777777" w:rsidR="003B7FBE" w:rsidRDefault="00AE3682">
      <w:pPr>
        <w:pStyle w:val="Ttulo2"/>
        <w:ind w:left="0"/>
        <w:jc w:val="both"/>
        <w:rPr>
          <w:rFonts w:ascii="Times New Roman" w:eastAsia="Times New Roman" w:hAnsi="Times New Roman" w:cs="Times New Roman"/>
        </w:rPr>
      </w:pPr>
      <w:bookmarkStart w:id="12" w:name="_3axo4jp1livm" w:colFirst="0" w:colLast="0"/>
      <w:bookmarkEnd w:id="12"/>
      <w:r>
        <w:rPr>
          <w:rFonts w:ascii="Times New Roman" w:eastAsia="Times New Roman" w:hAnsi="Times New Roman" w:cs="Times New Roman"/>
        </w:rPr>
        <w:tab/>
      </w:r>
    </w:p>
    <w:p w14:paraId="2D0D3EFB" w14:textId="77777777" w:rsidR="003B7FBE" w:rsidRDefault="003B7FBE">
      <w:pPr>
        <w:rPr>
          <w:rFonts w:ascii="Times New Roman" w:eastAsia="Times New Roman" w:hAnsi="Times New Roman" w:cs="Times New Roman"/>
          <w:b/>
          <w:sz w:val="24"/>
          <w:szCs w:val="24"/>
        </w:rPr>
      </w:pPr>
    </w:p>
    <w:p w14:paraId="2D0D3EFC" w14:textId="77777777" w:rsidR="003B7FBE" w:rsidRDefault="00AE3682">
      <w:pPr>
        <w:pStyle w:val="Ttulo1"/>
        <w:jc w:val="both"/>
        <w:rPr>
          <w:rFonts w:ascii="Times New Roman" w:eastAsia="Times New Roman" w:hAnsi="Times New Roman" w:cs="Times New Roman"/>
        </w:rPr>
      </w:pPr>
      <w:bookmarkStart w:id="13" w:name="_ssi6qpj2k9ry" w:colFirst="0" w:colLast="0"/>
      <w:bookmarkEnd w:id="13"/>
      <w:r>
        <w:rPr>
          <w:rFonts w:ascii="Times New Roman" w:eastAsia="Times New Roman" w:hAnsi="Times New Roman" w:cs="Times New Roman"/>
        </w:rPr>
        <w:t>METODOLOGIA</w:t>
      </w:r>
    </w:p>
    <w:p w14:paraId="2D0D3EFD" w14:textId="77777777" w:rsidR="003B7FBE" w:rsidRDefault="003B7FBE">
      <w:pPr>
        <w:jc w:val="both"/>
        <w:rPr>
          <w:rFonts w:ascii="Times New Roman" w:eastAsia="Times New Roman" w:hAnsi="Times New Roman" w:cs="Times New Roman"/>
          <w:b/>
          <w:sz w:val="24"/>
          <w:szCs w:val="24"/>
        </w:rPr>
      </w:pPr>
    </w:p>
    <w:p w14:paraId="2D0D3EFE" w14:textId="77777777" w:rsidR="003B7FBE" w:rsidRDefault="00AE3682">
      <w:pPr>
        <w:pStyle w:val="Ttulo2"/>
        <w:numPr>
          <w:ilvl w:val="0"/>
          <w:numId w:val="1"/>
        </w:numPr>
        <w:jc w:val="both"/>
      </w:pPr>
      <w:bookmarkStart w:id="14" w:name="_j0rt37johuwp" w:colFirst="0" w:colLast="0"/>
      <w:bookmarkEnd w:id="14"/>
      <w:r>
        <w:rPr>
          <w:rFonts w:ascii="Times New Roman" w:eastAsia="Times New Roman" w:hAnsi="Times New Roman" w:cs="Times New Roman"/>
        </w:rPr>
        <w:t>Projeto de pesquisa</w:t>
      </w:r>
    </w:p>
    <w:p w14:paraId="2D0D3EFF" w14:textId="77777777" w:rsidR="003B7FBE" w:rsidRDefault="003B7FBE">
      <w:pPr>
        <w:jc w:val="both"/>
        <w:rPr>
          <w:rFonts w:ascii="Times New Roman" w:eastAsia="Times New Roman" w:hAnsi="Times New Roman" w:cs="Times New Roman"/>
          <w:sz w:val="24"/>
          <w:szCs w:val="24"/>
        </w:rPr>
      </w:pPr>
    </w:p>
    <w:p w14:paraId="2D0D3F0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w:t>
      </w:r>
      <w:r>
        <w:rPr>
          <w:rFonts w:ascii="Times New Roman" w:eastAsia="Times New Roman" w:hAnsi="Times New Roman" w:cs="Times New Roman"/>
          <w:sz w:val="24"/>
          <w:szCs w:val="24"/>
        </w:rPr>
        <w:t>conjunturais ou se provocaram alterações estruturais e persistentes no processo de inserção e retenção dos jovens no mercado de trabalho.</w:t>
      </w:r>
    </w:p>
    <w:p w14:paraId="2D0D3F01" w14:textId="77777777" w:rsidR="003B7FBE" w:rsidRDefault="003B7FBE">
      <w:pPr>
        <w:ind w:left="360"/>
        <w:jc w:val="both"/>
        <w:rPr>
          <w:rFonts w:ascii="Times New Roman" w:eastAsia="Times New Roman" w:hAnsi="Times New Roman" w:cs="Times New Roman"/>
          <w:sz w:val="24"/>
          <w:szCs w:val="24"/>
        </w:rPr>
      </w:pPr>
    </w:p>
    <w:p w14:paraId="2D0D3F02" w14:textId="77777777" w:rsidR="003B7FBE" w:rsidRDefault="00AE3682">
      <w:pPr>
        <w:pStyle w:val="Ttulo2"/>
        <w:numPr>
          <w:ilvl w:val="0"/>
          <w:numId w:val="1"/>
        </w:numPr>
        <w:jc w:val="both"/>
      </w:pPr>
      <w:bookmarkStart w:id="15" w:name="_e5yt2tuxtfc" w:colFirst="0" w:colLast="0"/>
      <w:bookmarkEnd w:id="15"/>
      <w:r>
        <w:rPr>
          <w:rFonts w:ascii="Times New Roman" w:eastAsia="Times New Roman" w:hAnsi="Times New Roman" w:cs="Times New Roman"/>
        </w:rPr>
        <w:t>Métodos de coleta de dados</w:t>
      </w:r>
    </w:p>
    <w:p w14:paraId="2D0D3F03" w14:textId="77777777" w:rsidR="003B7FBE" w:rsidRDefault="003B7FBE">
      <w:pPr>
        <w:jc w:val="both"/>
        <w:rPr>
          <w:rFonts w:ascii="Times New Roman" w:eastAsia="Times New Roman" w:hAnsi="Times New Roman" w:cs="Times New Roman"/>
          <w:sz w:val="24"/>
          <w:szCs w:val="24"/>
        </w:rPr>
      </w:pPr>
    </w:p>
    <w:p w14:paraId="2D0D3F04"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Utilizaram-se microdados da PNAD Contínua Trimestral de 2012 a 2023, com tratamento por emparelhamento probabilístico via identificadores de domicílio e indivíduo (</w:t>
      </w:r>
      <w:proofErr w:type="spellStart"/>
      <w:r>
        <w:rPr>
          <w:rFonts w:ascii="Times New Roman" w:eastAsia="Times New Roman" w:hAnsi="Times New Roman" w:cs="Times New Roman"/>
          <w:sz w:val="24"/>
          <w:szCs w:val="24"/>
        </w:rPr>
        <w:t>hous_id</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ind_id</w:t>
      </w:r>
      <w:proofErr w:type="spellEnd"/>
      <w:r>
        <w:rPr>
          <w:rFonts w:ascii="Times New Roman" w:eastAsia="Times New Roman" w:hAnsi="Times New Roman" w:cs="Times New Roman"/>
          <w:sz w:val="24"/>
          <w:szCs w:val="24"/>
        </w:rPr>
        <w:t>), conforme metodologia do Data Zoom (PUC-Rio). As variáveis selecionadas para análise incluíram sexo (V2007), cor ou raça (V2010), escolaridade (V3009A), localização (V1022), idade (V2009), além das variáveis ocupacionais VD4001 (força de trabalho) e VD4002 (ocupação). Foram também utilizados dados mensais do Novo CAGED, desagregados por idade, sexo e escolaridade, que permitiram a construção de proxies trimestrais para o número de admissões formais (vagas).</w:t>
      </w:r>
    </w:p>
    <w:p w14:paraId="2D0D3F05" w14:textId="77777777" w:rsidR="003B7FBE" w:rsidRDefault="003B7FBE">
      <w:pPr>
        <w:ind w:left="360"/>
        <w:jc w:val="both"/>
        <w:rPr>
          <w:rFonts w:ascii="Times New Roman" w:eastAsia="Times New Roman" w:hAnsi="Times New Roman" w:cs="Times New Roman"/>
          <w:sz w:val="24"/>
          <w:szCs w:val="24"/>
        </w:rPr>
      </w:pPr>
    </w:p>
    <w:p w14:paraId="2D0D3F06" w14:textId="77777777" w:rsidR="003B7FBE" w:rsidRDefault="00AE3682">
      <w:pPr>
        <w:pStyle w:val="Ttulo2"/>
        <w:numPr>
          <w:ilvl w:val="0"/>
          <w:numId w:val="1"/>
        </w:numPr>
        <w:jc w:val="both"/>
      </w:pPr>
      <w:bookmarkStart w:id="16" w:name="_y0pw86aqss7n" w:colFirst="0" w:colLast="0"/>
      <w:bookmarkEnd w:id="16"/>
      <w:r>
        <w:rPr>
          <w:rFonts w:ascii="Times New Roman" w:eastAsia="Times New Roman" w:hAnsi="Times New Roman" w:cs="Times New Roman"/>
        </w:rPr>
        <w:t>Abordagem analítica</w:t>
      </w:r>
    </w:p>
    <w:p w14:paraId="2D0D3F07" w14:textId="77777777" w:rsidR="003B7FBE" w:rsidRDefault="003B7FBE">
      <w:pPr>
        <w:jc w:val="both"/>
        <w:rPr>
          <w:rFonts w:ascii="Times New Roman" w:eastAsia="Times New Roman" w:hAnsi="Times New Roman" w:cs="Times New Roman"/>
          <w:sz w:val="24"/>
          <w:szCs w:val="24"/>
        </w:rPr>
      </w:pPr>
    </w:p>
    <w:p w14:paraId="2D0D3F0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abordagem se deu em múltiplas camadas:</w:t>
      </w:r>
    </w:p>
    <w:p w14:paraId="2D0D3F09" w14:textId="77777777" w:rsidR="003B7FBE" w:rsidRDefault="003B7FBE">
      <w:pPr>
        <w:ind w:left="360"/>
        <w:jc w:val="both"/>
        <w:rPr>
          <w:rFonts w:ascii="Times New Roman" w:eastAsia="Times New Roman" w:hAnsi="Times New Roman" w:cs="Times New Roman"/>
          <w:sz w:val="24"/>
          <w:szCs w:val="24"/>
        </w:rPr>
      </w:pPr>
    </w:p>
    <w:p w14:paraId="2D0D3F0A"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Construção de matrizes de transição à </w:t>
      </w:r>
      <w:proofErr w:type="spellStart"/>
      <w:r>
        <w:rPr>
          <w:rFonts w:ascii="Times New Roman" w:eastAsia="Times New Roman" w:hAnsi="Times New Roman" w:cs="Times New Roman"/>
          <w:color w:val="000000"/>
          <w:sz w:val="24"/>
          <w:szCs w:val="24"/>
        </w:rPr>
        <w:t>la</w:t>
      </w:r>
      <w:proofErr w:type="spellEnd"/>
      <w:r>
        <w:rPr>
          <w:rFonts w:ascii="Times New Roman" w:eastAsia="Times New Roman" w:hAnsi="Times New Roman" w:cs="Times New Roman"/>
          <w:color w:val="000000"/>
          <w:sz w:val="24"/>
          <w:szCs w:val="24"/>
        </w:rPr>
        <w:t xml:space="preserve"> Markov, com probabilidades condicionais de transição trimestral entre os estados de desempregado e empregado;</w:t>
      </w:r>
    </w:p>
    <w:p w14:paraId="2D0D3F0B"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0C"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Regressões logísticas e Diferenças-em-Diferenças com interações (DIF-in-DIF), para identificar quais grupos juvenis foram mais penalizados pela pandemia e avaliar heterogeneidades significativas;</w:t>
      </w:r>
    </w:p>
    <w:p w14:paraId="2D0D3F0D" w14:textId="77777777" w:rsidR="003B7FBE" w:rsidRDefault="003B7FBE">
      <w:pPr>
        <w:jc w:val="both"/>
        <w:rPr>
          <w:rFonts w:ascii="Times New Roman" w:eastAsia="Times New Roman" w:hAnsi="Times New Roman" w:cs="Times New Roman"/>
          <w:sz w:val="24"/>
          <w:szCs w:val="24"/>
        </w:rPr>
      </w:pPr>
    </w:p>
    <w:p w14:paraId="2D0D3F0E" w14:textId="77777777" w:rsidR="003B7FBE" w:rsidRDefault="00AE3682">
      <w:pPr>
        <w:numPr>
          <w:ilvl w:val="0"/>
          <w:numId w:val="3"/>
        </w:numPr>
        <w:pBdr>
          <w:top w:val="nil"/>
          <w:left w:val="nil"/>
          <w:bottom w:val="nil"/>
          <w:right w:val="nil"/>
          <w:between w:val="nil"/>
        </w:pBdr>
        <w:ind w:left="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Estimação da função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Cobb-Douglas, onde a taxa de transição é modelada como função da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(razão entre vagas e desempregados), estimando a eficiência empírica do mercado juvenil;</w:t>
      </w:r>
    </w:p>
    <w:p w14:paraId="2D0D3F0F" w14:textId="77777777" w:rsidR="003B7FBE" w:rsidRDefault="003B7FBE">
      <w:pPr>
        <w:jc w:val="both"/>
        <w:rPr>
          <w:rFonts w:ascii="Times New Roman" w:eastAsia="Times New Roman" w:hAnsi="Times New Roman" w:cs="Times New Roman"/>
          <w:sz w:val="24"/>
          <w:szCs w:val="24"/>
        </w:rPr>
      </w:pPr>
    </w:p>
    <w:p w14:paraId="2D0D3F10"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Calibração do modelo estrutural DMP em equilíbrio estacionário, estimando parâmetros não observáveis como produtividade, salário de barganha, valor do tempo livre e custo de vaga.</w:t>
      </w:r>
    </w:p>
    <w:p w14:paraId="2D0D3F11"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12" w14:textId="77777777" w:rsidR="003B7FBE" w:rsidRDefault="00AE3682">
      <w:pPr>
        <w:pStyle w:val="Ttulo1"/>
        <w:jc w:val="both"/>
        <w:rPr>
          <w:rFonts w:ascii="Times New Roman" w:eastAsia="Times New Roman" w:hAnsi="Times New Roman" w:cs="Times New Roman"/>
        </w:rPr>
      </w:pPr>
      <w:bookmarkStart w:id="17" w:name="_3gwm5hggoqz4" w:colFirst="0" w:colLast="0"/>
      <w:bookmarkEnd w:id="17"/>
      <w:r>
        <w:rPr>
          <w:rFonts w:ascii="Times New Roman" w:eastAsia="Times New Roman" w:hAnsi="Times New Roman" w:cs="Times New Roman"/>
        </w:rPr>
        <w:t>RESULTADOS E ANÁLISES</w:t>
      </w:r>
    </w:p>
    <w:p w14:paraId="2D0D3F13" w14:textId="77777777" w:rsidR="003B7FBE" w:rsidRDefault="003B7FBE">
      <w:pPr>
        <w:jc w:val="both"/>
        <w:rPr>
          <w:rFonts w:ascii="Times New Roman" w:eastAsia="Times New Roman" w:hAnsi="Times New Roman" w:cs="Times New Roman"/>
          <w:b/>
          <w:sz w:val="24"/>
          <w:szCs w:val="24"/>
        </w:rPr>
      </w:pPr>
    </w:p>
    <w:p w14:paraId="2D0D3F14" w14:textId="77777777" w:rsidR="003B7FBE" w:rsidRDefault="00AE3682">
      <w:pPr>
        <w:pStyle w:val="Ttulo2"/>
        <w:numPr>
          <w:ilvl w:val="0"/>
          <w:numId w:val="1"/>
        </w:numPr>
        <w:jc w:val="both"/>
      </w:pPr>
      <w:bookmarkStart w:id="18" w:name="_jitcuzfv45v4" w:colFirst="0" w:colLast="0"/>
      <w:bookmarkEnd w:id="18"/>
      <w:r>
        <w:rPr>
          <w:rFonts w:ascii="Times New Roman" w:eastAsia="Times New Roman" w:hAnsi="Times New Roman" w:cs="Times New Roman"/>
        </w:rPr>
        <w:t>Apresentação dos dados</w:t>
      </w:r>
    </w:p>
    <w:p w14:paraId="2D0D3F15" w14:textId="77777777" w:rsidR="003B7FBE" w:rsidRDefault="003B7FBE">
      <w:pPr>
        <w:jc w:val="both"/>
        <w:rPr>
          <w:rFonts w:ascii="Times New Roman" w:eastAsia="Times New Roman" w:hAnsi="Times New Roman" w:cs="Times New Roman"/>
          <w:sz w:val="24"/>
          <w:szCs w:val="24"/>
        </w:rPr>
      </w:pPr>
    </w:p>
    <w:p w14:paraId="2D0D3F1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painel longitudinal da PNAD foi construído com cerca de 1,8 milhão de observações juvenis, emparelhadas entre trimestres consecutivos, permitindo mensuração direta de transições ocupacionais. As admissões do CAGED foram agregadas trimestralmente por faixa etária e cruzadas com as séries da PNAD, possibilitando a estimação de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eficiência do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para jovens, homens, mulheres e grupos escolares.</w:t>
      </w:r>
    </w:p>
    <w:p w14:paraId="2D0D3F17" w14:textId="77777777" w:rsidR="003B7FBE" w:rsidRDefault="003B7FBE">
      <w:pPr>
        <w:ind w:left="360"/>
        <w:jc w:val="both"/>
        <w:rPr>
          <w:rFonts w:ascii="Times New Roman" w:eastAsia="Times New Roman" w:hAnsi="Times New Roman" w:cs="Times New Roman"/>
          <w:sz w:val="24"/>
          <w:szCs w:val="24"/>
        </w:rPr>
      </w:pPr>
    </w:p>
    <w:p w14:paraId="2D0D3F18" w14:textId="77777777" w:rsidR="003B7FBE" w:rsidRDefault="00AE3682">
      <w:pPr>
        <w:pStyle w:val="Ttulo2"/>
        <w:numPr>
          <w:ilvl w:val="0"/>
          <w:numId w:val="1"/>
        </w:numPr>
        <w:jc w:val="both"/>
      </w:pPr>
      <w:bookmarkStart w:id="19" w:name="_3m13tb8aieyo" w:colFirst="0" w:colLast="0"/>
      <w:bookmarkEnd w:id="19"/>
      <w:r>
        <w:rPr>
          <w:rFonts w:ascii="Times New Roman" w:eastAsia="Times New Roman" w:hAnsi="Times New Roman" w:cs="Times New Roman"/>
        </w:rPr>
        <w:t>Principais conclusões</w:t>
      </w:r>
    </w:p>
    <w:p w14:paraId="2D0D3F19" w14:textId="77777777" w:rsidR="003B7FBE" w:rsidRDefault="003B7FBE">
      <w:pPr>
        <w:jc w:val="both"/>
        <w:rPr>
          <w:rFonts w:ascii="Times New Roman" w:eastAsia="Times New Roman" w:hAnsi="Times New Roman" w:cs="Times New Roman"/>
          <w:sz w:val="24"/>
          <w:szCs w:val="24"/>
        </w:rPr>
      </w:pPr>
    </w:p>
    <w:p w14:paraId="2D0D3F1A" w14:textId="77777777" w:rsidR="003B7FBE" w:rsidRDefault="00AE3682">
      <w:pPr>
        <w:numPr>
          <w:ilvl w:val="0"/>
          <w:numId w:val="4"/>
        </w:numPr>
        <w:pBdr>
          <w:top w:val="nil"/>
          <w:left w:val="nil"/>
          <w:bottom w:val="nil"/>
          <w:right w:val="nil"/>
          <w:between w:val="nil"/>
        </w:pBdr>
        <w:ind w:left="709"/>
        <w:jc w:val="both"/>
        <w:rPr>
          <w:color w:val="000000"/>
          <w:sz w:val="24"/>
          <w:szCs w:val="24"/>
        </w:rPr>
      </w:pPr>
      <w:r>
        <w:rPr>
          <w:rFonts w:ascii="Times New Roman" w:eastAsia="Times New Roman" w:hAnsi="Times New Roman" w:cs="Times New Roman"/>
          <w:color w:val="000000"/>
          <w:sz w:val="24"/>
          <w:szCs w:val="24"/>
        </w:rPr>
        <w:t xml:space="preserve">As chances de transição para o emprego entre jovens eram baixas já no período </w:t>
      </w:r>
      <w:proofErr w:type="spellStart"/>
      <w:r>
        <w:rPr>
          <w:rFonts w:ascii="Times New Roman" w:eastAsia="Times New Roman" w:hAnsi="Times New Roman" w:cs="Times New Roman"/>
          <w:color w:val="000000"/>
          <w:sz w:val="24"/>
          <w:szCs w:val="24"/>
        </w:rPr>
        <w:t>pré</w:t>
      </w:r>
      <w:proofErr w:type="spellEnd"/>
      <w:r>
        <w:rPr>
          <w:rFonts w:ascii="Times New Roman" w:eastAsia="Times New Roman" w:hAnsi="Times New Roman" w:cs="Times New Roman"/>
          <w:color w:val="000000"/>
          <w:sz w:val="24"/>
          <w:szCs w:val="24"/>
        </w:rPr>
        <w:t>-pandemia (~37%), caíram drasticamente na pandemia (~20%), e se recuperaram parcialmente no pós-pandemia (~45%).</w:t>
      </w:r>
    </w:p>
    <w:p w14:paraId="2D0D3F1B" w14:textId="77777777" w:rsidR="003B7FBE" w:rsidRDefault="003B7FBE">
      <w:pPr>
        <w:pBdr>
          <w:top w:val="nil"/>
          <w:left w:val="nil"/>
          <w:bottom w:val="nil"/>
          <w:right w:val="nil"/>
          <w:between w:val="nil"/>
        </w:pBdr>
        <w:ind w:left="709"/>
        <w:jc w:val="both"/>
        <w:rPr>
          <w:rFonts w:ascii="Times New Roman" w:eastAsia="Times New Roman" w:hAnsi="Times New Roman" w:cs="Times New Roman"/>
          <w:color w:val="000000"/>
          <w:sz w:val="24"/>
          <w:szCs w:val="24"/>
        </w:rPr>
      </w:pPr>
    </w:p>
    <w:p w14:paraId="2D0D3F1C" w14:textId="77777777" w:rsidR="003B7FBE" w:rsidRDefault="00AE3682">
      <w:pPr>
        <w:numPr>
          <w:ilvl w:val="0"/>
          <w:numId w:val="4"/>
        </w:numPr>
        <w:pBdr>
          <w:top w:val="nil"/>
          <w:left w:val="nil"/>
          <w:bottom w:val="nil"/>
          <w:right w:val="nil"/>
          <w:between w:val="nil"/>
        </w:pBdr>
        <w:ind w:left="709"/>
        <w:jc w:val="both"/>
        <w:rPr>
          <w:color w:val="000000"/>
          <w:sz w:val="24"/>
          <w:szCs w:val="24"/>
        </w:rPr>
      </w:pPr>
      <w:r>
        <w:rPr>
          <w:rFonts w:ascii="Times New Roman" w:eastAsia="Times New Roman" w:hAnsi="Times New Roman" w:cs="Times New Roman"/>
          <w:color w:val="000000"/>
          <w:sz w:val="24"/>
          <w:szCs w:val="24"/>
        </w:rPr>
        <w:t xml:space="preserve">O modelo </w:t>
      </w:r>
      <w:proofErr w:type="spellStart"/>
      <w:r>
        <w:rPr>
          <w:rFonts w:ascii="Times New Roman" w:eastAsia="Times New Roman" w:hAnsi="Times New Roman" w:cs="Times New Roman"/>
          <w:color w:val="000000"/>
          <w:sz w:val="24"/>
          <w:szCs w:val="24"/>
        </w:rPr>
        <w:t>logit</w:t>
      </w:r>
      <w:proofErr w:type="spellEnd"/>
      <w:r>
        <w:rPr>
          <w:rFonts w:ascii="Times New Roman" w:eastAsia="Times New Roman" w:hAnsi="Times New Roman" w:cs="Times New Roman"/>
          <w:color w:val="000000"/>
          <w:sz w:val="24"/>
          <w:szCs w:val="24"/>
        </w:rPr>
        <w:t xml:space="preserve"> indica que mulheres e jovens não-brancos apresentaram maior probabilidade de transição, enquanto a escolaridade não teve efeito estatisticamente significativo.</w:t>
      </w:r>
    </w:p>
    <w:p w14:paraId="2D0D3F1D" w14:textId="77777777" w:rsidR="003B7FBE" w:rsidRDefault="003B7FBE">
      <w:pPr>
        <w:jc w:val="both"/>
        <w:rPr>
          <w:rFonts w:ascii="Times New Roman" w:eastAsia="Times New Roman" w:hAnsi="Times New Roman" w:cs="Times New Roman"/>
          <w:sz w:val="24"/>
          <w:szCs w:val="24"/>
        </w:rPr>
      </w:pPr>
    </w:p>
    <w:p w14:paraId="2D0D3F1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DIF-in-DIF mostrou que a pandemia penalizou de forma desproporcional os pardos e, em menor medida, pretos e mulheres, mas apenas as mulheres apresentaram recuperação total </w:t>
      </w:r>
      <w:proofErr w:type="gramStart"/>
      <w:r>
        <w:rPr>
          <w:rFonts w:ascii="Times New Roman" w:eastAsia="Times New Roman" w:hAnsi="Times New Roman" w:cs="Times New Roman"/>
          <w:color w:val="000000"/>
          <w:sz w:val="24"/>
          <w:szCs w:val="24"/>
        </w:rPr>
        <w:t>no pós</w:t>
      </w:r>
      <w:proofErr w:type="gramEnd"/>
      <w:r>
        <w:rPr>
          <w:rFonts w:ascii="Times New Roman" w:eastAsia="Times New Roman" w:hAnsi="Times New Roman" w:cs="Times New Roman"/>
          <w:color w:val="000000"/>
          <w:sz w:val="24"/>
          <w:szCs w:val="24"/>
        </w:rPr>
        <w:t>.</w:t>
      </w:r>
    </w:p>
    <w:p w14:paraId="2D0D3F1F" w14:textId="77777777" w:rsidR="003B7FBE" w:rsidRDefault="003B7FBE">
      <w:pPr>
        <w:jc w:val="both"/>
        <w:rPr>
          <w:rFonts w:ascii="Times New Roman" w:eastAsia="Times New Roman" w:hAnsi="Times New Roman" w:cs="Times New Roman"/>
          <w:sz w:val="24"/>
          <w:szCs w:val="24"/>
        </w:rPr>
      </w:pPr>
    </w:p>
    <w:p w14:paraId="2D0D3F2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juvenil caiu drasticamente com o choque da pandemia, com recuperação apenas parcial, indicando fricções adicionais persistentes no mercado.</w:t>
      </w:r>
    </w:p>
    <w:p w14:paraId="2D0D3F21" w14:textId="77777777" w:rsidR="003B7FBE" w:rsidRDefault="003B7FBE">
      <w:pPr>
        <w:jc w:val="both"/>
        <w:rPr>
          <w:rFonts w:ascii="Times New Roman" w:eastAsia="Times New Roman" w:hAnsi="Times New Roman" w:cs="Times New Roman"/>
          <w:sz w:val="24"/>
          <w:szCs w:val="24"/>
        </w:rPr>
      </w:pPr>
    </w:p>
    <w:p w14:paraId="2D0D3F2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DMP estimado mostra que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do mercado juvenil aumentou no pós-pandemia, a taxa de separação caiu, e o desemprego recuou para níveis menores que os pré-crise, indicando reestruturação das dinâmicas de contratação.</w:t>
      </w:r>
    </w:p>
    <w:p w14:paraId="2D0D3F2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24" w14:textId="77777777" w:rsidR="003B7FBE" w:rsidRDefault="00AE3682">
      <w:pPr>
        <w:pStyle w:val="Ttulo2"/>
        <w:numPr>
          <w:ilvl w:val="0"/>
          <w:numId w:val="1"/>
        </w:numPr>
        <w:jc w:val="both"/>
      </w:pPr>
      <w:bookmarkStart w:id="20" w:name="_sqzb2mad53ha" w:colFirst="0" w:colLast="0"/>
      <w:bookmarkEnd w:id="20"/>
      <w:r>
        <w:rPr>
          <w:rFonts w:ascii="Times New Roman" w:eastAsia="Times New Roman" w:hAnsi="Times New Roman" w:cs="Times New Roman"/>
        </w:rPr>
        <w:lastRenderedPageBreak/>
        <w:t>Análise estatística</w:t>
      </w:r>
    </w:p>
    <w:p w14:paraId="2D0D3F25" w14:textId="77777777" w:rsidR="003B7FBE" w:rsidRDefault="003B7FBE">
      <w:pPr>
        <w:jc w:val="both"/>
        <w:rPr>
          <w:rFonts w:ascii="Times New Roman" w:eastAsia="Times New Roman" w:hAnsi="Times New Roman" w:cs="Times New Roman"/>
          <w:sz w:val="24"/>
          <w:szCs w:val="24"/>
        </w:rPr>
      </w:pPr>
    </w:p>
    <w:p w14:paraId="2D0D3F2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7" w14:textId="77777777" w:rsidR="003B7FBE" w:rsidRDefault="003B7FBE">
      <w:pPr>
        <w:ind w:left="360"/>
        <w:jc w:val="both"/>
        <w:rPr>
          <w:rFonts w:ascii="Times New Roman" w:eastAsia="Times New Roman" w:hAnsi="Times New Roman" w:cs="Times New Roman"/>
          <w:sz w:val="24"/>
          <w:szCs w:val="24"/>
        </w:rPr>
      </w:pPr>
    </w:p>
    <w:p w14:paraId="2D0D3F2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foi estimada por meio da regressão:</w:t>
      </w:r>
    </w:p>
    <w:p w14:paraId="2D0D3F29" w14:textId="77777777" w:rsidR="003B7FBE" w:rsidRDefault="003B7FBE">
      <w:pPr>
        <w:ind w:left="360"/>
        <w:jc w:val="both"/>
        <w:rPr>
          <w:rFonts w:ascii="Times New Roman" w:eastAsia="Times New Roman" w:hAnsi="Times New Roman" w:cs="Times New Roman"/>
          <w:sz w:val="24"/>
          <w:szCs w:val="24"/>
        </w:rPr>
      </w:pPr>
    </w:p>
    <w:p w14:paraId="2D0D3F2A" w14:textId="77777777" w:rsidR="003B7FBE" w:rsidRDefault="00AE3682">
      <w:pPr>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t</m:t>
                  </m:r>
                </m:sub>
              </m:sSub>
            </m:e>
          </m:d>
          <m:r>
            <w:rPr>
              <w:rFonts w:ascii="Cambria Math" w:eastAsia="Cambria Math" w:hAnsi="Cambria Math" w:cs="Cambria Math"/>
              <w:sz w:val="24"/>
              <w:szCs w:val="24"/>
            </w:rPr>
            <m:t>=</m:t>
          </m:r>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A</m:t>
              </m:r>
            </m:e>
          </m:d>
          <m:r>
            <w:rPr>
              <w:rFonts w:ascii="Cambria Math" w:eastAsia="Cambria Math" w:hAnsi="Cambria Math" w:cs="Cambria Math"/>
              <w:sz w:val="24"/>
              <w:szCs w:val="24"/>
            </w:rPr>
            <m:t>+</m:t>
          </m:r>
          <m:r>
            <w:rPr>
              <w:rFonts w:ascii="Cambria Math" w:eastAsia="Cambria Math" w:hAnsi="Cambria Math" w:cs="Cambria Math"/>
              <w:sz w:val="24"/>
              <w:szCs w:val="24"/>
            </w:rPr>
            <m:t>αlog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m:t>
                  </m:r>
                </m:sub>
              </m:sSub>
            </m:e>
          </m:d>
        </m:oMath>
      </m:oMathPara>
    </w:p>
    <w:p w14:paraId="2D0D3F2B" w14:textId="77777777" w:rsidR="003B7FBE" w:rsidRDefault="003B7FBE">
      <w:pPr>
        <w:ind w:left="360"/>
        <w:jc w:val="both"/>
        <w:rPr>
          <w:rFonts w:ascii="Times New Roman" w:eastAsia="Times New Roman" w:hAnsi="Times New Roman" w:cs="Times New Roman"/>
          <w:sz w:val="24"/>
          <w:szCs w:val="24"/>
        </w:rPr>
      </w:pPr>
    </w:p>
    <w:p w14:paraId="2D0D3F2C"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w:t>
      </w:r>
      <m:oMath>
        <m:r>
          <w:rPr>
            <w:rFonts w:ascii="Cambria Math" w:eastAsia="Cambria Math" w:hAnsi="Cambria Math" w:cs="Cambria Math"/>
            <w:sz w:val="24"/>
            <w:szCs w:val="24"/>
          </w:rPr>
          <m:t>α</m:t>
        </m:r>
        <m:r>
          <w:rPr>
            <w:rFonts w:ascii="Cambria Math" w:eastAsia="Cambria Math" w:hAnsi="Cambria Math" w:cs="Cambria Math"/>
            <w:sz w:val="24"/>
            <w:szCs w:val="24"/>
          </w:rPr>
          <m:t xml:space="preserve"> ≈ 0,73</m:t>
        </m:r>
      </m:oMath>
      <w:r>
        <w:rPr>
          <w:rFonts w:ascii="Times New Roman" w:eastAsia="Times New Roman" w:hAnsi="Times New Roman" w:cs="Times New Roman"/>
          <w:sz w:val="24"/>
          <w:szCs w:val="24"/>
        </w:rPr>
        <w:t>, permitindo avaliar quão distante o mercado jovem opera da fronteira de eficiência agregada.</w:t>
      </w:r>
    </w:p>
    <w:p w14:paraId="2D0D3F2D" w14:textId="77777777" w:rsidR="003B7FBE" w:rsidRDefault="003B7FBE">
      <w:pPr>
        <w:ind w:left="360"/>
        <w:jc w:val="both"/>
        <w:rPr>
          <w:rFonts w:ascii="Times New Roman" w:eastAsia="Times New Roman" w:hAnsi="Times New Roman" w:cs="Times New Roman"/>
          <w:sz w:val="24"/>
          <w:szCs w:val="24"/>
        </w:rPr>
      </w:pPr>
    </w:p>
    <w:p w14:paraId="2D0D3F2E" w14:textId="77777777" w:rsidR="003B7FBE" w:rsidRDefault="00AE3682">
      <w:pPr>
        <w:pStyle w:val="Ttulo2"/>
        <w:numPr>
          <w:ilvl w:val="0"/>
          <w:numId w:val="1"/>
        </w:numPr>
        <w:jc w:val="both"/>
      </w:pPr>
      <w:bookmarkStart w:id="21" w:name="_sye1t3pxe63f" w:colFirst="0" w:colLast="0"/>
      <w:bookmarkEnd w:id="21"/>
      <w:r>
        <w:rPr>
          <w:rFonts w:ascii="Times New Roman" w:eastAsia="Times New Roman" w:hAnsi="Times New Roman" w:cs="Times New Roman"/>
        </w:rPr>
        <w:t>Interpretação dos resultados</w:t>
      </w:r>
    </w:p>
    <w:p w14:paraId="2D0D3F2F" w14:textId="77777777" w:rsidR="003B7FBE" w:rsidRDefault="003B7FBE">
      <w:pPr>
        <w:jc w:val="both"/>
        <w:rPr>
          <w:rFonts w:ascii="Times New Roman" w:eastAsia="Times New Roman" w:hAnsi="Times New Roman" w:cs="Times New Roman"/>
          <w:sz w:val="24"/>
          <w:szCs w:val="24"/>
        </w:rPr>
      </w:pPr>
    </w:p>
    <w:p w14:paraId="2D0D3F3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Contudo, a elevação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redução da separação indicam reorganização estrutural, com melhora nos vínculos e talvez maior seletividade empresarial.</w:t>
      </w:r>
    </w:p>
    <w:p w14:paraId="2D0D3F31" w14:textId="77777777" w:rsidR="003B7FBE" w:rsidRDefault="003B7FBE">
      <w:pPr>
        <w:jc w:val="both"/>
        <w:rPr>
          <w:rFonts w:ascii="Times New Roman" w:eastAsia="Times New Roman" w:hAnsi="Times New Roman" w:cs="Times New Roman"/>
          <w:sz w:val="24"/>
          <w:szCs w:val="24"/>
        </w:rPr>
      </w:pPr>
    </w:p>
    <w:p w14:paraId="2D0D3F32" w14:textId="77777777" w:rsidR="003B7FBE" w:rsidRDefault="00AE3682">
      <w:pPr>
        <w:pStyle w:val="Ttulo1"/>
        <w:jc w:val="both"/>
        <w:rPr>
          <w:rFonts w:ascii="Times New Roman" w:eastAsia="Times New Roman" w:hAnsi="Times New Roman" w:cs="Times New Roman"/>
        </w:rPr>
      </w:pPr>
      <w:bookmarkStart w:id="22" w:name="_9munosc7f5i3" w:colFirst="0" w:colLast="0"/>
      <w:bookmarkEnd w:id="22"/>
      <w:r>
        <w:rPr>
          <w:rFonts w:ascii="Times New Roman" w:eastAsia="Times New Roman" w:hAnsi="Times New Roman" w:cs="Times New Roman"/>
        </w:rPr>
        <w:t>DISCUSSÃO</w:t>
      </w:r>
    </w:p>
    <w:p w14:paraId="2D0D3F33" w14:textId="77777777" w:rsidR="003B7FBE" w:rsidRDefault="003B7FBE">
      <w:pPr>
        <w:jc w:val="both"/>
        <w:rPr>
          <w:rFonts w:ascii="Times New Roman" w:eastAsia="Times New Roman" w:hAnsi="Times New Roman" w:cs="Times New Roman"/>
          <w:b/>
          <w:sz w:val="24"/>
          <w:szCs w:val="24"/>
        </w:rPr>
      </w:pPr>
    </w:p>
    <w:p w14:paraId="2D0D3F34" w14:textId="77777777" w:rsidR="003B7FBE" w:rsidRDefault="00AE3682">
      <w:pPr>
        <w:pStyle w:val="Ttulo2"/>
        <w:numPr>
          <w:ilvl w:val="0"/>
          <w:numId w:val="1"/>
        </w:numPr>
        <w:jc w:val="both"/>
      </w:pPr>
      <w:bookmarkStart w:id="23" w:name="_a8m5ts49xu4k" w:colFirst="0" w:colLast="0"/>
      <w:bookmarkEnd w:id="23"/>
      <w:r>
        <w:rPr>
          <w:rFonts w:ascii="Times New Roman" w:eastAsia="Times New Roman" w:hAnsi="Times New Roman" w:cs="Times New Roman"/>
        </w:rPr>
        <w:t>Síntese dos resultados</w:t>
      </w:r>
    </w:p>
    <w:p w14:paraId="2D0D3F35" w14:textId="77777777" w:rsidR="003B7FBE" w:rsidRDefault="003B7FBE">
      <w:pPr>
        <w:jc w:val="both"/>
        <w:rPr>
          <w:rFonts w:ascii="Times New Roman" w:eastAsia="Times New Roman" w:hAnsi="Times New Roman" w:cs="Times New Roman"/>
          <w:sz w:val="24"/>
          <w:szCs w:val="24"/>
        </w:rPr>
      </w:pPr>
    </w:p>
    <w:p w14:paraId="2D0D3F3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mercado de trabalho juvenil foi gravemente afetado pela pandemia, mas os resultados apontam para um choque transitório com efeitos permanentes moderados. A recuperação de indicadores quantitativos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desemprego, separação) contrasta com a persistência de fricções e desigualdades estruturais, exigindo políticas mais focadas e permanentes.</w:t>
      </w:r>
    </w:p>
    <w:p w14:paraId="2D0D3F37" w14:textId="77777777" w:rsidR="003B7FBE" w:rsidRDefault="003B7FBE">
      <w:pPr>
        <w:ind w:left="360"/>
        <w:jc w:val="both"/>
        <w:rPr>
          <w:rFonts w:ascii="Times New Roman" w:eastAsia="Times New Roman" w:hAnsi="Times New Roman" w:cs="Times New Roman"/>
          <w:sz w:val="24"/>
          <w:szCs w:val="24"/>
        </w:rPr>
      </w:pPr>
    </w:p>
    <w:p w14:paraId="2D0D3F38" w14:textId="77777777" w:rsidR="003B7FBE" w:rsidRDefault="00AE3682">
      <w:pPr>
        <w:pStyle w:val="Ttulo2"/>
        <w:numPr>
          <w:ilvl w:val="0"/>
          <w:numId w:val="1"/>
        </w:numPr>
        <w:jc w:val="both"/>
      </w:pPr>
      <w:bookmarkStart w:id="24" w:name="_chkt6jvcgpmt" w:colFirst="0" w:colLast="0"/>
      <w:bookmarkEnd w:id="24"/>
      <w:r>
        <w:rPr>
          <w:rFonts w:ascii="Times New Roman" w:eastAsia="Times New Roman" w:hAnsi="Times New Roman" w:cs="Times New Roman"/>
        </w:rPr>
        <w:t>Relações com a questão da pesquisa</w:t>
      </w:r>
    </w:p>
    <w:p w14:paraId="2D0D3F39" w14:textId="77777777" w:rsidR="003B7FBE" w:rsidRDefault="003B7FBE">
      <w:pPr>
        <w:jc w:val="both"/>
        <w:rPr>
          <w:rFonts w:ascii="Times New Roman" w:eastAsia="Times New Roman" w:hAnsi="Times New Roman" w:cs="Times New Roman"/>
          <w:sz w:val="24"/>
          <w:szCs w:val="24"/>
        </w:rPr>
      </w:pPr>
    </w:p>
    <w:p w14:paraId="2D0D3F3A"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A hipótese de que a pandemia representou uma inflexão nas estruturas de alocação juvenil é parcialmente confirmada.</w:t>
      </w:r>
    </w:p>
    <w:p w14:paraId="2D0D3F3B" w14:textId="77777777" w:rsidR="003B7FBE" w:rsidRDefault="003B7FBE">
      <w:pPr>
        <w:ind w:left="360"/>
        <w:jc w:val="both"/>
        <w:rPr>
          <w:rFonts w:ascii="Times New Roman" w:eastAsia="Times New Roman" w:hAnsi="Times New Roman" w:cs="Times New Roman"/>
          <w:sz w:val="24"/>
          <w:szCs w:val="24"/>
        </w:rPr>
      </w:pPr>
    </w:p>
    <w:p w14:paraId="2D0D3F3C" w14:textId="77777777" w:rsidR="003B7FBE" w:rsidRDefault="00AE3682">
      <w:pPr>
        <w:pStyle w:val="Ttulo2"/>
        <w:numPr>
          <w:ilvl w:val="0"/>
          <w:numId w:val="1"/>
        </w:numPr>
        <w:jc w:val="both"/>
      </w:pPr>
      <w:bookmarkStart w:id="25" w:name="_pxhslj7vb71e" w:colFirst="0" w:colLast="0"/>
      <w:bookmarkEnd w:id="25"/>
      <w:r>
        <w:rPr>
          <w:rFonts w:ascii="Times New Roman" w:eastAsia="Times New Roman" w:hAnsi="Times New Roman" w:cs="Times New Roman"/>
        </w:rPr>
        <w:lastRenderedPageBreak/>
        <w:t>Implicações dos resultados</w:t>
      </w:r>
    </w:p>
    <w:p w14:paraId="2D0D3F3D" w14:textId="77777777" w:rsidR="003B7FBE" w:rsidRDefault="003B7FBE">
      <w:pPr>
        <w:jc w:val="both"/>
        <w:rPr>
          <w:rFonts w:ascii="Times New Roman" w:eastAsia="Times New Roman" w:hAnsi="Times New Roman" w:cs="Times New Roman"/>
          <w:sz w:val="24"/>
          <w:szCs w:val="24"/>
        </w:rPr>
      </w:pPr>
    </w:p>
    <w:p w14:paraId="2D0D3F3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Políticas públicas devem ir além da qualificação genérica: há fricções por localização, idade e gênero que requerem mecanismos de incentivo à contratação direcionados.</w:t>
      </w:r>
    </w:p>
    <w:p w14:paraId="2D0D3F3F"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persistência da baixa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pós-pandemia alerta para desalinhamentos entre perfis juvenis e demanda do setor formal, demandando mediação ativa via serviços públicos de intermediação.</w:t>
      </w:r>
    </w:p>
    <w:p w14:paraId="2D0D3F41" w14:textId="77777777" w:rsidR="003B7FBE" w:rsidRDefault="003B7FBE">
      <w:pPr>
        <w:jc w:val="both"/>
        <w:rPr>
          <w:rFonts w:ascii="Times New Roman" w:eastAsia="Times New Roman" w:hAnsi="Times New Roman" w:cs="Times New Roman"/>
          <w:sz w:val="24"/>
          <w:szCs w:val="24"/>
        </w:rPr>
      </w:pPr>
    </w:p>
    <w:p w14:paraId="2D0D3F4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O modelo DMP oferece base sólida para simulações contrafactuais de política, como subsídios ao custo de vaga ou elevação do valor de fora (z).</w:t>
      </w:r>
    </w:p>
    <w:p w14:paraId="2D0D3F4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4" w14:textId="77777777" w:rsidR="003B7FBE" w:rsidRDefault="00AE3682">
      <w:pPr>
        <w:pStyle w:val="Ttulo2"/>
        <w:numPr>
          <w:ilvl w:val="0"/>
          <w:numId w:val="1"/>
        </w:numPr>
        <w:jc w:val="both"/>
      </w:pPr>
      <w:bookmarkStart w:id="26" w:name="_n7iqyzls5q23" w:colFirst="0" w:colLast="0"/>
      <w:bookmarkEnd w:id="26"/>
      <w:r>
        <w:rPr>
          <w:rFonts w:ascii="Times New Roman" w:eastAsia="Times New Roman" w:hAnsi="Times New Roman" w:cs="Times New Roman"/>
        </w:rPr>
        <w:t>Limitações do estudo</w:t>
      </w:r>
    </w:p>
    <w:p w14:paraId="2D0D3F45" w14:textId="77777777" w:rsidR="003B7FBE" w:rsidRDefault="003B7FBE">
      <w:pPr>
        <w:jc w:val="both"/>
        <w:rPr>
          <w:rFonts w:ascii="Times New Roman" w:eastAsia="Times New Roman" w:hAnsi="Times New Roman" w:cs="Times New Roman"/>
          <w:sz w:val="24"/>
          <w:szCs w:val="24"/>
        </w:rPr>
      </w:pPr>
    </w:p>
    <w:p w14:paraId="2D0D3F46"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utilização de proxies para o número de vagas (admissões formais) pode subestimar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real do mercado informal.</w:t>
      </w:r>
    </w:p>
    <w:p w14:paraId="2D0D3F47"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8"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estruturação do modelo DMP é estática; abordagens dinâmicas poderiam oferecer insights sobre trajetória e histerese.</w:t>
      </w:r>
    </w:p>
    <w:p w14:paraId="2D0D3F49" w14:textId="77777777" w:rsidR="003B7FBE" w:rsidRDefault="003B7FBE">
      <w:pPr>
        <w:jc w:val="both"/>
        <w:rPr>
          <w:rFonts w:ascii="Times New Roman" w:eastAsia="Times New Roman" w:hAnsi="Times New Roman" w:cs="Times New Roman"/>
          <w:sz w:val="24"/>
          <w:szCs w:val="24"/>
        </w:rPr>
      </w:pPr>
    </w:p>
    <w:p w14:paraId="2D0D3F4A"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Algumas interações com a variável escolaridade apresentaram imprecisão nas estimativas, limitando inferências conclusivas.</w:t>
      </w:r>
    </w:p>
    <w:p w14:paraId="2D0D3F4B" w14:textId="77777777" w:rsidR="003B7FBE" w:rsidRDefault="003B7FBE">
      <w:pPr>
        <w:jc w:val="both"/>
        <w:rPr>
          <w:rFonts w:ascii="Times New Roman" w:eastAsia="Times New Roman" w:hAnsi="Times New Roman" w:cs="Times New Roman"/>
          <w:b/>
          <w:sz w:val="24"/>
          <w:szCs w:val="24"/>
        </w:rPr>
      </w:pPr>
      <w:bookmarkStart w:id="27" w:name="_flbwpk3h4y40" w:colFirst="0" w:colLast="0"/>
      <w:bookmarkEnd w:id="27"/>
    </w:p>
    <w:p w14:paraId="2D0D3F4C" w14:textId="77777777" w:rsidR="003B7FBE" w:rsidRDefault="00AE3682">
      <w:pPr>
        <w:pStyle w:val="Ttulo1"/>
        <w:jc w:val="both"/>
        <w:rPr>
          <w:rFonts w:ascii="Times New Roman" w:eastAsia="Times New Roman" w:hAnsi="Times New Roman" w:cs="Times New Roman"/>
        </w:rPr>
      </w:pPr>
      <w:bookmarkStart w:id="28" w:name="_xmwgn7dcdush" w:colFirst="0" w:colLast="0"/>
      <w:bookmarkEnd w:id="28"/>
      <w:r>
        <w:rPr>
          <w:rFonts w:ascii="Times New Roman" w:eastAsia="Times New Roman" w:hAnsi="Times New Roman" w:cs="Times New Roman"/>
        </w:rPr>
        <w:t>CONCLUSÃO</w:t>
      </w:r>
    </w:p>
    <w:p w14:paraId="2D0D3F4D" w14:textId="77777777" w:rsidR="003B7FBE" w:rsidRDefault="003B7FBE">
      <w:pPr>
        <w:jc w:val="both"/>
        <w:rPr>
          <w:rFonts w:ascii="Times New Roman" w:eastAsia="Times New Roman" w:hAnsi="Times New Roman" w:cs="Times New Roman"/>
          <w:b/>
          <w:sz w:val="24"/>
          <w:szCs w:val="24"/>
        </w:rPr>
      </w:pPr>
    </w:p>
    <w:p w14:paraId="2D0D3F4E" w14:textId="77777777" w:rsidR="003B7FBE" w:rsidRDefault="00AE3682">
      <w:pPr>
        <w:pStyle w:val="Ttulo2"/>
        <w:numPr>
          <w:ilvl w:val="0"/>
          <w:numId w:val="1"/>
        </w:numPr>
        <w:jc w:val="both"/>
      </w:pPr>
      <w:bookmarkStart w:id="29" w:name="_96lq1moxgz8g" w:colFirst="0" w:colLast="0"/>
      <w:bookmarkEnd w:id="29"/>
      <w:r>
        <w:rPr>
          <w:rFonts w:ascii="Times New Roman" w:eastAsia="Times New Roman" w:hAnsi="Times New Roman" w:cs="Times New Roman"/>
        </w:rPr>
        <w:t>Resumo dos principais pontos</w:t>
      </w:r>
    </w:p>
    <w:p w14:paraId="2D0D3F4F" w14:textId="77777777" w:rsidR="003B7FBE" w:rsidRDefault="003B7FBE">
      <w:pPr>
        <w:jc w:val="both"/>
        <w:rPr>
          <w:rFonts w:ascii="Times New Roman" w:eastAsia="Times New Roman" w:hAnsi="Times New Roman" w:cs="Times New Roman"/>
          <w:sz w:val="24"/>
          <w:szCs w:val="24"/>
        </w:rPr>
      </w:pPr>
    </w:p>
    <w:p w14:paraId="2D0D3F5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pesquisa confirmou que a pandemia representou um choque severo e assimétrico no mercado de trabalho juvenil brasileiro. Contudo, ao contrário do que parte da literatura previa, os efeitos não foram integralmente permanentes. Houve reacomodação estrutural no pós-pandemia, com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elevada e queda na separação, mas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pPr>
        <w:rPr>
          <w:rFonts w:ascii="Times New Roman" w:eastAsia="Times New Roman" w:hAnsi="Times New Roman" w:cs="Times New Roman"/>
          <w:sz w:val="24"/>
          <w:szCs w:val="24"/>
        </w:rPr>
      </w:pPr>
      <w:r>
        <w:br w:type="page"/>
      </w:r>
    </w:p>
    <w:p w14:paraId="2D0D3F52" w14:textId="77777777" w:rsidR="003B7FBE" w:rsidRDefault="00AE3682">
      <w:pPr>
        <w:pStyle w:val="Ttulo1"/>
        <w:jc w:val="both"/>
        <w:rPr>
          <w:rFonts w:ascii="Times New Roman" w:eastAsia="Times New Roman" w:hAnsi="Times New Roman" w:cs="Times New Roman"/>
        </w:rPr>
      </w:pPr>
      <w:bookmarkStart w:id="30" w:name="_y7dbf06sjxqr" w:colFirst="0" w:colLast="0"/>
      <w:bookmarkEnd w:id="30"/>
      <w:r>
        <w:rPr>
          <w:rFonts w:ascii="Times New Roman" w:eastAsia="Times New Roman" w:hAnsi="Times New Roman" w:cs="Times New Roman"/>
        </w:rPr>
        <w:lastRenderedPageBreak/>
        <w:t>REFERÊNCIAS BIBLIOGRÁFICAS</w:t>
      </w:r>
    </w:p>
    <w:p w14:paraId="2D0D3F53" w14:textId="77777777" w:rsidR="003B7FBE" w:rsidRDefault="003B7FBE">
      <w:pPr>
        <w:jc w:val="both"/>
        <w:rPr>
          <w:rFonts w:ascii="Times New Roman" w:eastAsia="Times New Roman" w:hAnsi="Times New Roman" w:cs="Times New Roman"/>
          <w:sz w:val="24"/>
          <w:szCs w:val="24"/>
        </w:rPr>
      </w:pPr>
    </w:p>
    <w:p w14:paraId="2D0D3F54"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[1] BRASIL. </w:t>
      </w:r>
      <w:r>
        <w:rPr>
          <w:rFonts w:ascii="Times New Roman" w:eastAsia="Times New Roman" w:hAnsi="Times New Roman" w:cs="Times New Roman"/>
          <w:b/>
          <w:sz w:val="24"/>
          <w:szCs w:val="24"/>
        </w:rPr>
        <w:t>Brasil tem a 4a maior taxa de desemprego do mundo, aponta ranking com 44 países</w:t>
      </w:r>
      <w:r>
        <w:rPr>
          <w:rFonts w:ascii="Times New Roman" w:eastAsia="Times New Roman" w:hAnsi="Times New Roman" w:cs="Times New Roman"/>
          <w:sz w:val="24"/>
          <w:szCs w:val="24"/>
        </w:rPr>
        <w:t xml:space="preserve">. Disponível em: &lt;https://g1.globo.com/economia/noticia/2021/11/22/brasil-tem-a-4a-maior-taxa-de-desemprego-do-mundo-aponta-ranking-com-44-paises.ghtml&gt;. </w:t>
      </w:r>
      <w:r w:rsidRPr="00AE3682">
        <w:rPr>
          <w:rFonts w:ascii="Times New Roman" w:eastAsia="Times New Roman" w:hAnsi="Times New Roman" w:cs="Times New Roman"/>
          <w:sz w:val="24"/>
          <w:szCs w:val="24"/>
          <w:lang w:val="en-US"/>
        </w:rPr>
        <w:t>Acesso em: 27 jan. 2025.</w:t>
      </w:r>
    </w:p>
    <w:p w14:paraId="2D0D3F55" w14:textId="77777777" w:rsidR="003B7FBE" w:rsidRPr="00AE3682" w:rsidRDefault="003B7FBE">
      <w:pPr>
        <w:jc w:val="both"/>
        <w:rPr>
          <w:rFonts w:ascii="Times New Roman" w:eastAsia="Times New Roman" w:hAnsi="Times New Roman" w:cs="Times New Roman"/>
          <w:sz w:val="24"/>
          <w:szCs w:val="24"/>
          <w:lang w:val="en-US"/>
        </w:rPr>
      </w:pPr>
    </w:p>
    <w:p w14:paraId="2D0D3F56"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ALMEIDA, Rita; PACKARD, Truman. </w:t>
      </w:r>
      <w:r w:rsidRPr="00AE3682">
        <w:rPr>
          <w:rFonts w:ascii="Times New Roman" w:eastAsia="Times New Roman" w:hAnsi="Times New Roman" w:cs="Times New Roman"/>
          <w:b/>
          <w:sz w:val="24"/>
          <w:szCs w:val="24"/>
          <w:lang w:val="en-US"/>
        </w:rPr>
        <w:t>Skills and Jobs in Brazil: An Agenda for Youth</w:t>
      </w:r>
      <w:r w:rsidRPr="00AE3682">
        <w:rPr>
          <w:rFonts w:ascii="Times New Roman" w:eastAsia="Times New Roman" w:hAnsi="Times New Roman" w:cs="Times New Roman"/>
          <w:sz w:val="24"/>
          <w:szCs w:val="24"/>
          <w:lang w:val="en-US"/>
        </w:rPr>
        <w:t>. The World Bank. 2018. DOI: 10.1596/978-1-4648-1293-4.</w:t>
      </w:r>
    </w:p>
    <w:p w14:paraId="2D0D3F57" w14:textId="77777777" w:rsidR="003B7FBE" w:rsidRPr="00AE3682" w:rsidRDefault="003B7FBE">
      <w:pPr>
        <w:jc w:val="both"/>
        <w:rPr>
          <w:rFonts w:ascii="Times New Roman" w:eastAsia="Times New Roman" w:hAnsi="Times New Roman" w:cs="Times New Roman"/>
          <w:sz w:val="24"/>
          <w:szCs w:val="24"/>
          <w:lang w:val="en-US"/>
        </w:rPr>
      </w:pPr>
    </w:p>
    <w:p w14:paraId="2D0D3F58"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ANDRADE, Marcela Alves; MORIGUCHI DE CASTRO, Cristiane Shinohara; MININEL, Vivian Aline; et al. Age and schooling are associated with job loss in the initial months of the COVID-19 pandemic in Brazil. </w:t>
      </w:r>
      <w:r w:rsidRPr="00AE3682">
        <w:rPr>
          <w:rFonts w:ascii="Times New Roman" w:eastAsia="Times New Roman" w:hAnsi="Times New Roman" w:cs="Times New Roman"/>
          <w:b/>
          <w:sz w:val="24"/>
          <w:szCs w:val="24"/>
          <w:lang w:val="en-US"/>
        </w:rPr>
        <w:t>Research, Society and Development</w:t>
      </w:r>
      <w:r w:rsidRPr="00AE3682">
        <w:rPr>
          <w:rFonts w:ascii="Times New Roman" w:eastAsia="Times New Roman" w:hAnsi="Times New Roman" w:cs="Times New Roman"/>
          <w:sz w:val="24"/>
          <w:szCs w:val="24"/>
          <w:lang w:val="en-US"/>
        </w:rPr>
        <w:t>, 2024.</w:t>
      </w:r>
    </w:p>
    <w:p w14:paraId="2D0D3F59" w14:textId="77777777" w:rsidR="003B7FBE" w:rsidRPr="00AE3682" w:rsidRDefault="003B7FBE">
      <w:pPr>
        <w:jc w:val="both"/>
        <w:rPr>
          <w:rFonts w:ascii="Times New Roman" w:eastAsia="Times New Roman" w:hAnsi="Times New Roman" w:cs="Times New Roman"/>
          <w:sz w:val="24"/>
          <w:szCs w:val="24"/>
          <w:lang w:val="en-US"/>
        </w:rPr>
      </w:pPr>
    </w:p>
    <w:p w14:paraId="2D0D3F5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BANCO CENTRAL DO BRASIL. Evolução do Seguro-desemprego no Brasil: uma simulação de Cadeia de Markov. </w:t>
      </w:r>
      <w:r>
        <w:rPr>
          <w:rFonts w:ascii="Times New Roman" w:eastAsia="Times New Roman" w:hAnsi="Times New Roman" w:cs="Times New Roman"/>
          <w:b/>
          <w:sz w:val="24"/>
          <w:szCs w:val="24"/>
        </w:rPr>
        <w:t>Relatório de Inflação</w:t>
      </w:r>
      <w:r>
        <w:rPr>
          <w:rFonts w:ascii="Times New Roman" w:eastAsia="Times New Roman" w:hAnsi="Times New Roman" w:cs="Times New Roman"/>
          <w:sz w:val="24"/>
          <w:szCs w:val="24"/>
        </w:rPr>
        <w:t>, Brasília, v. 15, n. 4, p. 41-46, dez. 2013. Disponível em: https://www.bcb.gov.br/content/ri/relatorioinflacao/201312/RELINF201312-ri201312b2p.pdf. Acesso em: 24 fev. 2025.</w:t>
      </w:r>
    </w:p>
    <w:p w14:paraId="2D0D3F5B" w14:textId="77777777" w:rsidR="003B7FBE" w:rsidRDefault="003B7FBE">
      <w:pPr>
        <w:jc w:val="both"/>
        <w:rPr>
          <w:rFonts w:ascii="Times New Roman" w:eastAsia="Times New Roman" w:hAnsi="Times New Roman" w:cs="Times New Roman"/>
          <w:sz w:val="24"/>
          <w:szCs w:val="24"/>
        </w:rPr>
      </w:pPr>
    </w:p>
    <w:p w14:paraId="2D0D3F5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BHATIA, A. et al. The Epidemiology of Young People’s Work and Experiences of Violence in Nine Countries: Evidence from the Violence against Children Surveys. </w:t>
      </w:r>
      <w:r w:rsidRPr="00AE3682">
        <w:rPr>
          <w:rFonts w:ascii="Times New Roman" w:eastAsia="Times New Roman" w:hAnsi="Times New Roman" w:cs="Times New Roman"/>
          <w:b/>
          <w:sz w:val="24"/>
          <w:szCs w:val="24"/>
          <w:lang w:val="en-US"/>
        </w:rPr>
        <w:t>International Journal of Environmental Research and Public Health</w:t>
      </w:r>
      <w:r w:rsidRPr="00AE3682">
        <w:rPr>
          <w:rFonts w:ascii="Times New Roman" w:eastAsia="Times New Roman" w:hAnsi="Times New Roman" w:cs="Times New Roman"/>
          <w:sz w:val="24"/>
          <w:szCs w:val="24"/>
          <w:lang w:val="en-US"/>
        </w:rPr>
        <w:t xml:space="preserve">, v. 19, n. 24, p. 16936, 1 jan. 2022. </w:t>
      </w:r>
      <w:r>
        <w:rPr>
          <w:rFonts w:ascii="Times New Roman" w:eastAsia="Times New Roman" w:hAnsi="Times New Roman" w:cs="Times New Roman"/>
          <w:sz w:val="24"/>
          <w:szCs w:val="24"/>
        </w:rPr>
        <w:t>DOI: 10.3390/ijerph192416936. Disponível em: https://www.mdpi.com/1660-4601/19/24/16936. Acesso em: 11 mar. 2024.</w:t>
      </w:r>
    </w:p>
    <w:p w14:paraId="2D0D3F5D" w14:textId="77777777" w:rsidR="003B7FBE" w:rsidRDefault="003B7FBE">
      <w:pPr>
        <w:jc w:val="both"/>
        <w:rPr>
          <w:rFonts w:ascii="Times New Roman" w:eastAsia="Times New Roman" w:hAnsi="Times New Roman" w:cs="Times New Roman"/>
          <w:sz w:val="24"/>
          <w:szCs w:val="24"/>
        </w:rPr>
      </w:pPr>
    </w:p>
    <w:p w14:paraId="2D0D3F5E"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CAMARGO, Veridiana Pires de; TESSMANN, Mathias </w:t>
      </w:r>
      <w:proofErr w:type="spellStart"/>
      <w:r>
        <w:rPr>
          <w:rFonts w:ascii="Times New Roman" w:eastAsia="Times New Roman" w:hAnsi="Times New Roman" w:cs="Times New Roman"/>
          <w:sz w:val="24"/>
          <w:szCs w:val="24"/>
        </w:rPr>
        <w:t>Schneid</w:t>
      </w:r>
      <w:proofErr w:type="spellEnd"/>
      <w:r>
        <w:rPr>
          <w:rFonts w:ascii="Times New Roman" w:eastAsia="Times New Roman" w:hAnsi="Times New Roman" w:cs="Times New Roman"/>
          <w:sz w:val="24"/>
          <w:szCs w:val="24"/>
        </w:rPr>
        <w:t xml:space="preserve">. </w:t>
      </w:r>
      <w:r w:rsidRPr="00AE3682">
        <w:rPr>
          <w:rFonts w:ascii="Times New Roman" w:eastAsia="Times New Roman" w:hAnsi="Times New Roman" w:cs="Times New Roman"/>
          <w:sz w:val="24"/>
          <w:szCs w:val="24"/>
          <w:lang w:val="en-US"/>
        </w:rPr>
        <w:t xml:space="preserve">Heterogeneous impacts of covid-19 on youth employment: a study for brazilian regions. </w:t>
      </w:r>
      <w:r>
        <w:rPr>
          <w:rFonts w:ascii="Times New Roman" w:eastAsia="Times New Roman" w:hAnsi="Times New Roman" w:cs="Times New Roman"/>
          <w:b/>
          <w:sz w:val="24"/>
          <w:szCs w:val="24"/>
        </w:rPr>
        <w:t>JOURNAL OF QUANTITATIVE FINANCE AND ECONOMICS</w:t>
      </w:r>
      <w:r>
        <w:rPr>
          <w:rFonts w:ascii="Times New Roman" w:eastAsia="Times New Roman" w:hAnsi="Times New Roman" w:cs="Times New Roman"/>
          <w:sz w:val="24"/>
          <w:szCs w:val="24"/>
        </w:rPr>
        <w:t>, v. 5, n. 1, p. 159–183, 2023.</w:t>
      </w:r>
    </w:p>
    <w:p w14:paraId="2D0D3F5F" w14:textId="77777777" w:rsidR="003B7FBE" w:rsidRDefault="003B7FBE">
      <w:pPr>
        <w:jc w:val="both"/>
        <w:rPr>
          <w:rFonts w:ascii="Times New Roman" w:eastAsia="Times New Roman" w:hAnsi="Times New Roman" w:cs="Times New Roman"/>
          <w:sz w:val="24"/>
          <w:szCs w:val="24"/>
        </w:rPr>
      </w:pPr>
    </w:p>
    <w:p w14:paraId="2D0D3F60"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FRANCA, Maíra Penna; POLOPONSKY, </w:t>
      </w:r>
      <w:proofErr w:type="spellStart"/>
      <w:r>
        <w:rPr>
          <w:rFonts w:ascii="Times New Roman" w:eastAsia="Times New Roman" w:hAnsi="Times New Roman" w:cs="Times New Roman"/>
          <w:sz w:val="24"/>
          <w:szCs w:val="24"/>
        </w:rPr>
        <w:t>Katcha</w:t>
      </w:r>
      <w:proofErr w:type="spellEnd"/>
      <w:r>
        <w:rPr>
          <w:rFonts w:ascii="Times New Roman" w:eastAsia="Times New Roman" w:hAnsi="Times New Roman" w:cs="Times New Roman"/>
          <w:sz w:val="24"/>
          <w:szCs w:val="24"/>
        </w:rPr>
        <w:t xml:space="preserve">. A Inserção dos Jovens Brasileiros no Mercado de Trabalho num Contexto de Recessão. </w:t>
      </w:r>
      <w:r>
        <w:rPr>
          <w:rFonts w:ascii="Times New Roman" w:eastAsia="Times New Roman" w:hAnsi="Times New Roman" w:cs="Times New Roman"/>
          <w:b/>
          <w:sz w:val="24"/>
          <w:szCs w:val="24"/>
        </w:rPr>
        <w:t>Novos estudos CEBRAP</w:t>
      </w:r>
      <w:r>
        <w:rPr>
          <w:rFonts w:ascii="Times New Roman" w:eastAsia="Times New Roman" w:hAnsi="Times New Roman" w:cs="Times New Roman"/>
          <w:sz w:val="24"/>
          <w:szCs w:val="24"/>
        </w:rPr>
        <w:t xml:space="preserve">. 2020, v. 39, n. 3 [Acessado 26 </w:t>
      </w:r>
      <w:proofErr w:type="gramStart"/>
      <w:r>
        <w:rPr>
          <w:rFonts w:ascii="Times New Roman" w:eastAsia="Times New Roman" w:hAnsi="Times New Roman" w:cs="Times New Roman"/>
          <w:sz w:val="24"/>
          <w:szCs w:val="24"/>
        </w:rPr>
        <w:t>Março</w:t>
      </w:r>
      <w:proofErr w:type="gramEnd"/>
      <w:r>
        <w:rPr>
          <w:rFonts w:ascii="Times New Roman" w:eastAsia="Times New Roman" w:hAnsi="Times New Roman" w:cs="Times New Roman"/>
          <w:sz w:val="24"/>
          <w:szCs w:val="24"/>
        </w:rPr>
        <w:t xml:space="preserve"> 2024], pp. 501-520. Disponível em: &lt;</w:t>
      </w:r>
      <w:hyperlink r:id="rId7">
        <w:r>
          <w:rPr>
            <w:rFonts w:ascii="Times New Roman" w:eastAsia="Times New Roman" w:hAnsi="Times New Roman" w:cs="Times New Roman"/>
            <w:color w:val="1155CC"/>
            <w:sz w:val="24"/>
            <w:szCs w:val="24"/>
            <w:u w:val="single"/>
          </w:rPr>
          <w:t>https://doi.org/10.25091/s01013300202000030003</w:t>
        </w:r>
      </w:hyperlink>
      <w:r>
        <w:rPr>
          <w:rFonts w:ascii="Times New Roman" w:eastAsia="Times New Roman" w:hAnsi="Times New Roman" w:cs="Times New Roman"/>
          <w:sz w:val="24"/>
          <w:szCs w:val="24"/>
        </w:rPr>
        <w:t>&gt;.</w:t>
      </w:r>
    </w:p>
    <w:p w14:paraId="2D0D3F61" w14:textId="77777777" w:rsidR="003B7FBE" w:rsidRDefault="003B7FBE">
      <w:pPr>
        <w:jc w:val="both"/>
        <w:rPr>
          <w:rFonts w:ascii="Times New Roman" w:eastAsia="Times New Roman" w:hAnsi="Times New Roman" w:cs="Times New Roman"/>
          <w:sz w:val="24"/>
          <w:szCs w:val="24"/>
        </w:rPr>
      </w:pPr>
    </w:p>
    <w:p w14:paraId="2D0D3F62"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FOGUEL, Miguel; GONZAGA, Gustavo; RIBEIRO; Eduardo Pontual. </w:t>
      </w:r>
      <w:r w:rsidRPr="00AE3682">
        <w:rPr>
          <w:rFonts w:ascii="Times New Roman" w:eastAsia="Times New Roman" w:hAnsi="Times New Roman" w:cs="Times New Roman"/>
          <w:b/>
          <w:sz w:val="24"/>
          <w:szCs w:val="24"/>
          <w:lang w:val="en-US"/>
        </w:rPr>
        <w:t>Youth Turnover in Brazil: Job and Worker Flows and an Evaluation of a Youth-Targeted Training Program</w:t>
      </w:r>
      <w:r w:rsidRPr="00AE3682">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CEDLAS </w:t>
      </w:r>
      <w:proofErr w:type="spellStart"/>
      <w:r>
        <w:rPr>
          <w:rFonts w:ascii="Times New Roman" w:eastAsia="Times New Roman" w:hAnsi="Times New Roman" w:cs="Times New Roman"/>
          <w:sz w:val="24"/>
          <w:szCs w:val="24"/>
        </w:rPr>
        <w:t>Working</w:t>
      </w:r>
      <w:proofErr w:type="spellEnd"/>
      <w:r>
        <w:rPr>
          <w:rFonts w:ascii="Times New Roman" w:eastAsia="Times New Roman" w:hAnsi="Times New Roman" w:cs="Times New Roman"/>
          <w:sz w:val="24"/>
          <w:szCs w:val="24"/>
        </w:rPr>
        <w:t xml:space="preserve"> Papers. 2014. Disponível em: https://ideas.repec.org/p/dls/wpaper/0155.html. Acesso em: 11 mar. 2024.</w:t>
      </w:r>
    </w:p>
    <w:p w14:paraId="2D0D3F63" w14:textId="77777777" w:rsidR="003B7FBE" w:rsidRDefault="003B7FBE">
      <w:pPr>
        <w:jc w:val="both"/>
        <w:rPr>
          <w:rFonts w:ascii="Times New Roman" w:eastAsia="Times New Roman" w:hAnsi="Times New Roman" w:cs="Times New Roman"/>
          <w:sz w:val="24"/>
          <w:szCs w:val="24"/>
        </w:rPr>
      </w:pPr>
    </w:p>
    <w:p w14:paraId="2D0D3F64"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 SILVA FILHO, L. A.; FERREIRA DA SILVA, F. J.; NUNES DE QUEIROZ, S. </w:t>
      </w:r>
      <w:proofErr w:type="spellStart"/>
      <w:r>
        <w:rPr>
          <w:rFonts w:ascii="Times New Roman" w:eastAsia="Times New Roman" w:hAnsi="Times New Roman" w:cs="Times New Roman"/>
          <w:sz w:val="24"/>
          <w:szCs w:val="24"/>
        </w:rPr>
        <w:t>Jóvenes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w:t>
      </w:r>
      <w:proofErr w:type="spellEnd"/>
      <w:r>
        <w:rPr>
          <w:rFonts w:ascii="Times New Roman" w:eastAsia="Times New Roman" w:hAnsi="Times New Roman" w:cs="Times New Roman"/>
          <w:sz w:val="24"/>
          <w:szCs w:val="24"/>
        </w:rPr>
        <w:t xml:space="preserve"> mercado de </w:t>
      </w:r>
      <w:proofErr w:type="spellStart"/>
      <w:r>
        <w:rPr>
          <w:rFonts w:ascii="Times New Roman" w:eastAsia="Times New Roman" w:hAnsi="Times New Roman" w:cs="Times New Roman"/>
          <w:sz w:val="24"/>
          <w:szCs w:val="24"/>
        </w:rPr>
        <w:t>trabajo</w:t>
      </w:r>
      <w:proofErr w:type="spellEnd"/>
      <w:r>
        <w:rPr>
          <w:rFonts w:ascii="Times New Roman" w:eastAsia="Times New Roman" w:hAnsi="Times New Roman" w:cs="Times New Roman"/>
          <w:sz w:val="24"/>
          <w:szCs w:val="24"/>
        </w:rPr>
        <w:t xml:space="preserve"> formal </w:t>
      </w:r>
      <w:proofErr w:type="spellStart"/>
      <w:r>
        <w:rPr>
          <w:rFonts w:ascii="Times New Roman" w:eastAsia="Times New Roman" w:hAnsi="Times New Roman" w:cs="Times New Roman"/>
          <w:sz w:val="24"/>
          <w:szCs w:val="24"/>
        </w:rPr>
        <w:t>brasileño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análisis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cuantitativo</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Facultad</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Ciencias</w:t>
      </w:r>
      <w:proofErr w:type="spellEnd"/>
      <w:r>
        <w:rPr>
          <w:rFonts w:ascii="Times New Roman" w:eastAsia="Times New Roman" w:hAnsi="Times New Roman" w:cs="Times New Roman"/>
          <w:b/>
          <w:sz w:val="24"/>
          <w:szCs w:val="24"/>
        </w:rPr>
        <w:t xml:space="preserve"> Económicas</w:t>
      </w:r>
      <w:r>
        <w:rPr>
          <w:rFonts w:ascii="Times New Roman" w:eastAsia="Times New Roman" w:hAnsi="Times New Roman" w:cs="Times New Roman"/>
          <w:sz w:val="24"/>
          <w:szCs w:val="24"/>
        </w:rPr>
        <w:t>, [S. l.], v. 23, n. 2, p. 21–34, 2015. DOI: 10.18359/rfce.1605. Disponível em: https://revistas.unimilitar.edu.co/index.php/rfce/article/view/1605. Acesso em: 11 mar. 2024.</w:t>
      </w:r>
    </w:p>
    <w:p w14:paraId="2D0D3F65" w14:textId="77777777" w:rsidR="003B7FBE" w:rsidRDefault="003B7FBE">
      <w:pPr>
        <w:jc w:val="both"/>
        <w:rPr>
          <w:rFonts w:ascii="Times New Roman" w:eastAsia="Times New Roman" w:hAnsi="Times New Roman" w:cs="Times New Roman"/>
          <w:sz w:val="24"/>
          <w:szCs w:val="24"/>
        </w:rPr>
      </w:pPr>
    </w:p>
    <w:p w14:paraId="2D0D3F6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FEIJÓ, Janaína; PERUCHETTI, Paulo. </w:t>
      </w:r>
      <w:r>
        <w:rPr>
          <w:rFonts w:ascii="Times New Roman" w:eastAsia="Times New Roman" w:hAnsi="Times New Roman" w:cs="Times New Roman"/>
          <w:b/>
          <w:sz w:val="24"/>
          <w:szCs w:val="24"/>
        </w:rPr>
        <w:t>Performance dos jovens no mercado de trabalho</w:t>
      </w:r>
      <w:r>
        <w:rPr>
          <w:rFonts w:ascii="Times New Roman" w:eastAsia="Times New Roman" w:hAnsi="Times New Roman" w:cs="Times New Roman"/>
          <w:sz w:val="24"/>
          <w:szCs w:val="24"/>
        </w:rPr>
        <w:t>. In: FGV IBRE. Blog do IBRE. São Paulo, 26 jul. 2024. Disponível em: https://blogdoibre.fgv.br/posts/performance-dos-jovens-no-mercado-de-trabalho. Acesso em: 17 fev. 2025.</w:t>
      </w:r>
    </w:p>
    <w:p w14:paraId="2D0D3F67" w14:textId="77777777" w:rsidR="003B7FBE" w:rsidRDefault="003B7FBE">
      <w:pPr>
        <w:jc w:val="both"/>
        <w:rPr>
          <w:rFonts w:ascii="Times New Roman" w:eastAsia="Times New Roman" w:hAnsi="Times New Roman" w:cs="Times New Roman"/>
          <w:sz w:val="24"/>
          <w:szCs w:val="24"/>
        </w:rPr>
      </w:pPr>
    </w:p>
    <w:p w14:paraId="2D0D3F68"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FILHO, P. R. F. O desemprego dos jovens e as políticas públicas no Brasil pós 1990.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Norus</w:t>
      </w:r>
      <w:proofErr w:type="spellEnd"/>
      <w:r>
        <w:rPr>
          <w:rFonts w:ascii="Times New Roman" w:eastAsia="Times New Roman" w:hAnsi="Times New Roman" w:cs="Times New Roman"/>
          <w:sz w:val="24"/>
          <w:szCs w:val="24"/>
        </w:rPr>
        <w:t>, v. 8, n. 14, p. 116-134, 2020. DOI: 10.15210/norus.v8i14.20035. Disponível em: https://periodicos.ufpel.edu.br/index.php/NORUS/article/view/20035. Acesso em: 11 mar. 2024.</w:t>
      </w:r>
    </w:p>
    <w:p w14:paraId="2D0D3F69" w14:textId="77777777" w:rsidR="003B7FBE" w:rsidRDefault="003B7FBE">
      <w:pPr>
        <w:jc w:val="both"/>
        <w:rPr>
          <w:rFonts w:ascii="Times New Roman" w:eastAsia="Times New Roman" w:hAnsi="Times New Roman" w:cs="Times New Roman"/>
          <w:sz w:val="24"/>
          <w:szCs w:val="24"/>
        </w:rPr>
      </w:pPr>
    </w:p>
    <w:p w14:paraId="2D0D3F6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GUIMARÃES, Jairo de Carvalho; MENDES, Karine </w:t>
      </w:r>
      <w:proofErr w:type="spellStart"/>
      <w:r>
        <w:rPr>
          <w:rFonts w:ascii="Times New Roman" w:eastAsia="Times New Roman" w:hAnsi="Times New Roman" w:cs="Times New Roman"/>
          <w:sz w:val="24"/>
          <w:szCs w:val="24"/>
        </w:rPr>
        <w:t>Késsia</w:t>
      </w:r>
      <w:proofErr w:type="spellEnd"/>
      <w:r>
        <w:rPr>
          <w:rFonts w:ascii="Times New Roman" w:eastAsia="Times New Roman" w:hAnsi="Times New Roman" w:cs="Times New Roman"/>
          <w:sz w:val="24"/>
          <w:szCs w:val="24"/>
        </w:rPr>
        <w:t xml:space="preserve"> de Sousa Félix. </w:t>
      </w:r>
      <w:r>
        <w:rPr>
          <w:rFonts w:ascii="Times New Roman" w:eastAsia="Times New Roman" w:hAnsi="Times New Roman" w:cs="Times New Roman"/>
          <w:b/>
          <w:sz w:val="24"/>
          <w:szCs w:val="24"/>
        </w:rPr>
        <w:t>Precarização do trabalho e juventude: uma análise sobre a realidade laboral face à pandemia da covid-19</w:t>
      </w:r>
      <w:r>
        <w:rPr>
          <w:rFonts w:ascii="Times New Roman" w:eastAsia="Times New Roman" w:hAnsi="Times New Roman" w:cs="Times New Roman"/>
          <w:sz w:val="24"/>
          <w:szCs w:val="24"/>
        </w:rPr>
        <w:t xml:space="preserve">. O Social em Questão, v. 4, n. 53, 2022. Disponível em: </w:t>
      </w:r>
      <w:hyperlink r:id="rId8">
        <w:r>
          <w:rPr>
            <w:rFonts w:ascii="Times New Roman" w:eastAsia="Times New Roman" w:hAnsi="Times New Roman" w:cs="Times New Roman"/>
            <w:color w:val="1155CC"/>
            <w:sz w:val="24"/>
            <w:szCs w:val="24"/>
            <w:u w:val="single"/>
          </w:rPr>
          <w:t>https://doi.org/10.17771/pucrio.osq.58558</w:t>
        </w:r>
      </w:hyperlink>
      <w:r>
        <w:rPr>
          <w:rFonts w:ascii="Times New Roman" w:eastAsia="Times New Roman" w:hAnsi="Times New Roman" w:cs="Times New Roman"/>
          <w:sz w:val="24"/>
          <w:szCs w:val="24"/>
        </w:rPr>
        <w:t>.</w:t>
      </w:r>
    </w:p>
    <w:p w14:paraId="2D0D3F6B" w14:textId="77777777" w:rsidR="003B7FBE" w:rsidRDefault="003B7FBE">
      <w:pPr>
        <w:jc w:val="both"/>
        <w:rPr>
          <w:rFonts w:ascii="Times New Roman" w:eastAsia="Times New Roman" w:hAnsi="Times New Roman" w:cs="Times New Roman"/>
          <w:sz w:val="24"/>
          <w:szCs w:val="24"/>
        </w:rPr>
      </w:pPr>
    </w:p>
    <w:p w14:paraId="2D0D3F6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JAVARONI, Ana Flávia Merchan Ferraz; LEHFELD, Neide Aparecida de Souza. </w:t>
      </w:r>
      <w:r w:rsidRPr="00AE3682">
        <w:rPr>
          <w:rFonts w:ascii="Times New Roman" w:eastAsia="Times New Roman" w:hAnsi="Times New Roman" w:cs="Times New Roman"/>
          <w:b/>
          <w:sz w:val="24"/>
          <w:szCs w:val="24"/>
          <w:lang w:val="en-US"/>
        </w:rPr>
        <w:t>Education, pandemic and youth in Brazil</w:t>
      </w:r>
      <w:r w:rsidRPr="00AE3682">
        <w:rPr>
          <w:rFonts w:ascii="Times New Roman" w:eastAsia="Times New Roman" w:hAnsi="Times New Roman" w:cs="Times New Roman"/>
          <w:sz w:val="24"/>
          <w:szCs w:val="24"/>
          <w:lang w:val="en-US"/>
        </w:rPr>
        <w:t xml:space="preserve">. In: [s.l.]: Seven Editora, 2023. </w:t>
      </w:r>
      <w:r>
        <w:rPr>
          <w:rFonts w:ascii="Times New Roman" w:eastAsia="Times New Roman" w:hAnsi="Times New Roman" w:cs="Times New Roman"/>
          <w:sz w:val="24"/>
          <w:szCs w:val="24"/>
        </w:rPr>
        <w:t>Disponível em: &lt;https://sevenpublicacoes.com.br/index.php/editora/article/download/2242/3147&gt;.</w:t>
      </w:r>
    </w:p>
    <w:p w14:paraId="2D0D3F6D" w14:textId="77777777" w:rsidR="003B7FBE" w:rsidRDefault="003B7FBE">
      <w:pPr>
        <w:jc w:val="both"/>
        <w:rPr>
          <w:rFonts w:ascii="Times New Roman" w:eastAsia="Times New Roman" w:hAnsi="Times New Roman" w:cs="Times New Roman"/>
          <w:sz w:val="24"/>
          <w:szCs w:val="24"/>
        </w:rPr>
      </w:pPr>
    </w:p>
    <w:p w14:paraId="2D0D3F6E"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MACIEL, Lucas Pires; ROSSIGNOLI, Marisa. A regulação estatal para incentivar o primeiro emprego dos jovens no Brasil: elementos para o desenvolvimento econômico. </w:t>
      </w:r>
      <w:r>
        <w:rPr>
          <w:rFonts w:ascii="Times New Roman" w:eastAsia="Times New Roman" w:hAnsi="Times New Roman" w:cs="Times New Roman"/>
          <w:b/>
          <w:sz w:val="24"/>
          <w:szCs w:val="24"/>
        </w:rPr>
        <w:t>Direito e Desenvolvimento</w:t>
      </w:r>
      <w:r>
        <w:rPr>
          <w:rFonts w:ascii="Times New Roman" w:eastAsia="Times New Roman" w:hAnsi="Times New Roman" w:cs="Times New Roman"/>
          <w:sz w:val="24"/>
          <w:szCs w:val="24"/>
        </w:rPr>
        <w:t xml:space="preserve">, [S. l.], v. 10, n. 2, p. 141–156, 2019. DOI: 10.26843/direitoedesenvolvimento.v10i2.1048. Disponível em: https://periodicos.unipe.br/index.php/direitoedesenvolvimento/article/view/1048. </w:t>
      </w:r>
      <w:r w:rsidRPr="00AE3682">
        <w:rPr>
          <w:rFonts w:ascii="Times New Roman" w:eastAsia="Times New Roman" w:hAnsi="Times New Roman" w:cs="Times New Roman"/>
          <w:sz w:val="24"/>
          <w:szCs w:val="24"/>
          <w:lang w:val="en-US"/>
        </w:rPr>
        <w:t>Acesso em: 11 mar. 2024.</w:t>
      </w:r>
    </w:p>
    <w:p w14:paraId="2D0D3F6F" w14:textId="77777777" w:rsidR="003B7FBE" w:rsidRPr="00AE3682" w:rsidRDefault="003B7FBE">
      <w:pPr>
        <w:jc w:val="both"/>
        <w:rPr>
          <w:rFonts w:ascii="Times New Roman" w:eastAsia="Times New Roman" w:hAnsi="Times New Roman" w:cs="Times New Roman"/>
          <w:sz w:val="24"/>
          <w:szCs w:val="24"/>
          <w:lang w:val="en-US"/>
        </w:rPr>
      </w:pPr>
    </w:p>
    <w:p w14:paraId="2D0D3F70"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OLIVEIRA, Gilson de; RAIHER, Augusta Pelinski. The inclusion of poor youth in the Brazilian labour market and the impact of the Bolsa Família programme. </w:t>
      </w:r>
      <w:r>
        <w:rPr>
          <w:rFonts w:ascii="Times New Roman" w:eastAsia="Times New Roman" w:hAnsi="Times New Roman" w:cs="Times New Roman"/>
          <w:b/>
          <w:sz w:val="24"/>
          <w:szCs w:val="24"/>
        </w:rPr>
        <w:t>CEPAL Review</w:t>
      </w:r>
      <w:r>
        <w:rPr>
          <w:rFonts w:ascii="Times New Roman" w:eastAsia="Times New Roman" w:hAnsi="Times New Roman" w:cs="Times New Roman"/>
          <w:sz w:val="24"/>
          <w:szCs w:val="24"/>
        </w:rPr>
        <w:t xml:space="preserve">, v. 2021, n. 135, p. 163–176, 31 maio 2022. DOI: https://doi.org/10.18356/16840348-2021-135-8. Disponível em: https://www.un-ilibrary.org/content/journals/16840348/2021/135/8. </w:t>
      </w:r>
      <w:r w:rsidRPr="00AE3682">
        <w:rPr>
          <w:rFonts w:ascii="Times New Roman" w:eastAsia="Times New Roman" w:hAnsi="Times New Roman" w:cs="Times New Roman"/>
          <w:sz w:val="24"/>
          <w:szCs w:val="24"/>
          <w:lang w:val="en-US"/>
        </w:rPr>
        <w:t>Acesso em: 11 mar. 2024.</w:t>
      </w:r>
    </w:p>
    <w:p w14:paraId="2D0D3F71" w14:textId="77777777" w:rsidR="003B7FBE" w:rsidRPr="00AE3682" w:rsidRDefault="003B7FBE">
      <w:pPr>
        <w:jc w:val="both"/>
        <w:rPr>
          <w:rFonts w:ascii="Times New Roman" w:eastAsia="Times New Roman" w:hAnsi="Times New Roman" w:cs="Times New Roman"/>
          <w:sz w:val="24"/>
          <w:szCs w:val="24"/>
          <w:lang w:val="en-US"/>
        </w:rPr>
      </w:pPr>
    </w:p>
    <w:p w14:paraId="2D0D3F72"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PINHEIRO, Diógenes; RIBEIRO, Eliane; PEREGRINO, Mônica. School and work: elements to discuss youth in Brazil. </w:t>
      </w:r>
      <w:r w:rsidRPr="00AE3682">
        <w:rPr>
          <w:rFonts w:ascii="Times New Roman" w:eastAsia="Times New Roman" w:hAnsi="Times New Roman" w:cs="Times New Roman"/>
          <w:b/>
          <w:sz w:val="24"/>
          <w:szCs w:val="24"/>
          <w:lang w:val="en-US"/>
        </w:rPr>
        <w:t>Sociology International Journal</w:t>
      </w:r>
      <w:r w:rsidRPr="00AE3682">
        <w:rPr>
          <w:rFonts w:ascii="Times New Roman" w:eastAsia="Times New Roman" w:hAnsi="Times New Roman" w:cs="Times New Roman"/>
          <w:sz w:val="24"/>
          <w:szCs w:val="24"/>
          <w:lang w:val="en-US"/>
        </w:rPr>
        <w:t xml:space="preserve">, [s. l.], v. 2, ed. 5, p. 349-353, 10 set. 2018. </w:t>
      </w:r>
      <w:r>
        <w:rPr>
          <w:rFonts w:ascii="Times New Roman" w:eastAsia="Times New Roman" w:hAnsi="Times New Roman" w:cs="Times New Roman"/>
          <w:sz w:val="24"/>
          <w:szCs w:val="24"/>
        </w:rPr>
        <w:t>DOI https://doi.org/10.15406/sij.2018.02.00068. Disponível em: https://medcraveonline.com/SIJ/SIJ-02-00068.pdf. Acesso em: 11 mar. 2024.</w:t>
      </w:r>
    </w:p>
    <w:p w14:paraId="2D0D3F73" w14:textId="77777777" w:rsidR="003B7FBE" w:rsidRDefault="003B7FBE">
      <w:pPr>
        <w:jc w:val="both"/>
        <w:rPr>
          <w:rFonts w:ascii="Times New Roman" w:eastAsia="Times New Roman" w:hAnsi="Times New Roman" w:cs="Times New Roman"/>
          <w:sz w:val="24"/>
          <w:szCs w:val="24"/>
        </w:rPr>
      </w:pPr>
    </w:p>
    <w:p w14:paraId="2D0D3F74"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s-ES_tradnl"/>
        </w:rPr>
        <w:t xml:space="preserve">SALAS, M.M.; PABLO, J. Youth. </w:t>
      </w:r>
      <w:r w:rsidRPr="00AE3682">
        <w:rPr>
          <w:rFonts w:ascii="Times New Roman" w:eastAsia="Times New Roman" w:hAnsi="Times New Roman" w:cs="Times New Roman"/>
          <w:sz w:val="24"/>
          <w:szCs w:val="24"/>
          <w:lang w:val="en-US"/>
        </w:rPr>
        <w:t xml:space="preserve">Labor Market Exclusion, and Social Violence in Central America. </w:t>
      </w:r>
      <w:r w:rsidRPr="00AE3682">
        <w:rPr>
          <w:rFonts w:ascii="Times New Roman" w:eastAsia="Times New Roman" w:hAnsi="Times New Roman" w:cs="Times New Roman"/>
          <w:b/>
          <w:sz w:val="24"/>
          <w:szCs w:val="24"/>
          <w:lang w:val="en-US"/>
        </w:rPr>
        <w:t>Perspectives on children and young people</w:t>
      </w:r>
      <w:r w:rsidRPr="00AE3682">
        <w:rPr>
          <w:rFonts w:ascii="Times New Roman" w:eastAsia="Times New Roman" w:hAnsi="Times New Roman" w:cs="Times New Roman"/>
          <w:sz w:val="24"/>
          <w:szCs w:val="24"/>
          <w:lang w:val="en-US"/>
        </w:rPr>
        <w:t xml:space="preserve">, p. 17–31, 1 jan. 2019. DOI: 10.1007/978-981-13-3750-5_2. Disponível em: https://link.springer.com/chapter/10.1007/978-981-13-3750-5_2. </w:t>
      </w:r>
      <w:r>
        <w:rPr>
          <w:rFonts w:ascii="Times New Roman" w:eastAsia="Times New Roman" w:hAnsi="Times New Roman" w:cs="Times New Roman"/>
          <w:sz w:val="24"/>
          <w:szCs w:val="24"/>
        </w:rPr>
        <w:t>Acesso em: 11 mar. 2024.</w:t>
      </w:r>
    </w:p>
    <w:p w14:paraId="2D0D3F75" w14:textId="77777777" w:rsidR="003B7FBE" w:rsidRDefault="003B7FBE">
      <w:pPr>
        <w:jc w:val="both"/>
        <w:rPr>
          <w:rFonts w:ascii="Times New Roman" w:eastAsia="Times New Roman" w:hAnsi="Times New Roman" w:cs="Times New Roman"/>
          <w:sz w:val="24"/>
          <w:szCs w:val="24"/>
        </w:rPr>
      </w:pPr>
    </w:p>
    <w:p w14:paraId="2D0D3F7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SOUSA, Rodrigo Leme. Um breve comentário do mercado de trabalho do Brasil. </w:t>
      </w:r>
      <w:r w:rsidRPr="00AE3682">
        <w:rPr>
          <w:rFonts w:ascii="Times New Roman" w:eastAsia="Times New Roman" w:hAnsi="Times New Roman" w:cs="Times New Roman"/>
          <w:b/>
          <w:sz w:val="24"/>
          <w:szCs w:val="24"/>
          <w:lang w:val="es-ES_tradnl"/>
        </w:rPr>
        <w:t>Revista de Ciencias Empresariales y Sociales</w:t>
      </w:r>
      <w:r w:rsidRPr="00AE3682">
        <w:rPr>
          <w:rFonts w:ascii="Times New Roman" w:eastAsia="Times New Roman" w:hAnsi="Times New Roman" w:cs="Times New Roman"/>
          <w:sz w:val="24"/>
          <w:szCs w:val="24"/>
          <w:lang w:val="es-ES_tradnl"/>
        </w:rPr>
        <w:t xml:space="preserve">, [s. l.], v. 2, ed. 3, p. 26-41, 30 jun. 2020. </w:t>
      </w:r>
      <w:r>
        <w:rPr>
          <w:rFonts w:ascii="Times New Roman" w:eastAsia="Times New Roman" w:hAnsi="Times New Roman" w:cs="Times New Roman"/>
          <w:sz w:val="24"/>
          <w:szCs w:val="24"/>
        </w:rPr>
        <w:t>Disponível em: http://dspace.uces.edu.ar:8180/xmlui/handle/123456789/4890. Acesso em: 11 mar. 2024.</w:t>
      </w:r>
    </w:p>
    <w:p w14:paraId="2D0D3F77" w14:textId="77777777" w:rsidR="003B7FBE" w:rsidRDefault="003B7FBE">
      <w:pPr>
        <w:jc w:val="both"/>
        <w:rPr>
          <w:rFonts w:ascii="Times New Roman" w:eastAsia="Times New Roman" w:hAnsi="Times New Roman" w:cs="Times New Roman"/>
          <w:sz w:val="24"/>
          <w:szCs w:val="24"/>
        </w:rPr>
      </w:pPr>
    </w:p>
    <w:sectPr w:rsidR="003B7FBE" w:rsidSect="00AE3682">
      <w:headerReference w:type="default" r:id="rId9"/>
      <w:headerReference w:type="first" r:id="rId10"/>
      <w:pgSz w:w="11906" w:h="16838"/>
      <w:pgMar w:top="1700" w:right="1133" w:bottom="1133" w:left="170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D3F80" w14:textId="77777777" w:rsidR="00AE3682" w:rsidRDefault="00AE3682">
      <w:pPr>
        <w:spacing w:line="240" w:lineRule="auto"/>
      </w:pPr>
      <w:r>
        <w:separator/>
      </w:r>
    </w:p>
  </w:endnote>
  <w:endnote w:type="continuationSeparator" w:id="0">
    <w:p w14:paraId="2D0D3F82" w14:textId="77777777" w:rsidR="00AE3682" w:rsidRDefault="00AE36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7FCE610-360A-4053-BFA7-DB04D1DF0F0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73EAA570-DEEB-4EDE-A9A4-018F40EAA3AC}"/>
    <w:embedItalic r:id="rId3" w:fontKey="{3A9CD6D1-FE09-4473-8D75-C56804E6FA92}"/>
  </w:font>
  <w:font w:name="Calibri">
    <w:panose1 w:val="020F0502020204030204"/>
    <w:charset w:val="00"/>
    <w:family w:val="swiss"/>
    <w:pitch w:val="variable"/>
    <w:sig w:usb0="E4002EFF" w:usb1="C200247B" w:usb2="00000009" w:usb3="00000000" w:csb0="000001FF" w:csb1="00000000"/>
    <w:embedRegular r:id="rId4" w:fontKey="{9449FECC-CA5A-4185-91EB-59BFA526A3A0}"/>
  </w:font>
  <w:font w:name="Cambria">
    <w:panose1 w:val="02040503050406030204"/>
    <w:charset w:val="00"/>
    <w:family w:val="roman"/>
    <w:pitch w:val="variable"/>
    <w:sig w:usb0="E00006FF" w:usb1="420024FF" w:usb2="02000000" w:usb3="00000000" w:csb0="0000019F" w:csb1="00000000"/>
    <w:embedRegular r:id="rId5" w:fontKey="{53CE3B08-BA40-4FDE-9088-46B6017ECF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3F7C" w14:textId="77777777" w:rsidR="00AE3682" w:rsidRDefault="00AE3682">
      <w:pPr>
        <w:spacing w:line="240" w:lineRule="auto"/>
      </w:pPr>
      <w:r>
        <w:separator/>
      </w:r>
    </w:p>
  </w:footnote>
  <w:footnote w:type="continuationSeparator" w:id="0">
    <w:p w14:paraId="2D0D3F7E" w14:textId="77777777" w:rsidR="00AE3682" w:rsidRDefault="00AE36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D3F78" w14:textId="60B2B6EB" w:rsidR="003B7FBE" w:rsidRDefault="003B7FBE" w:rsidP="00AE3682">
    <w:pPr>
      <w:pBdr>
        <w:top w:val="nil"/>
        <w:left w:val="nil"/>
        <w:bottom w:val="nil"/>
        <w:right w:val="nil"/>
        <w:between w:val="nil"/>
      </w:pBdr>
      <w:tabs>
        <w:tab w:val="center" w:pos="4252"/>
        <w:tab w:val="right" w:pos="8504"/>
      </w:tabs>
      <w:spacing w:line="240" w:lineRule="auto"/>
      <w:jc w:val="center"/>
      <w:rPr>
        <w:color w:val="000000"/>
      </w:rPr>
    </w:pPr>
  </w:p>
  <w:p w14:paraId="2D0D3F79" w14:textId="77777777" w:rsidR="003B7FBE" w:rsidRDefault="003B7FB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95123"/>
      <w:docPartObj>
        <w:docPartGallery w:val="Page Numbers (Top of Page)"/>
        <w:docPartUnique/>
      </w:docPartObj>
    </w:sdtPr>
    <w:sdtContent>
      <w:p w14:paraId="014634D9" w14:textId="6FDF1372" w:rsidR="00AE3682" w:rsidRDefault="00AE3682">
        <w:pPr>
          <w:pStyle w:val="Cabealho"/>
          <w:jc w:val="right"/>
        </w:pPr>
        <w:r>
          <w:fldChar w:fldCharType="begin"/>
        </w:r>
        <w:r>
          <w:instrText>PAGE   \* MERGEFORMAT</w:instrText>
        </w:r>
        <w:r>
          <w:fldChar w:fldCharType="separate"/>
        </w:r>
        <w:r>
          <w:t>2</w:t>
        </w:r>
        <w:r>
          <w:fldChar w:fldCharType="end"/>
        </w:r>
      </w:p>
    </w:sdtContent>
  </w:sdt>
  <w:p w14:paraId="29FD1F32" w14:textId="77777777" w:rsidR="00AE3682" w:rsidRDefault="00AE36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14655137">
    <w:abstractNumId w:val="5"/>
  </w:num>
  <w:num w:numId="2" w16cid:durableId="782264622">
    <w:abstractNumId w:val="1"/>
  </w:num>
  <w:num w:numId="3" w16cid:durableId="226117034">
    <w:abstractNumId w:val="4"/>
  </w:num>
  <w:num w:numId="4" w16cid:durableId="428887067">
    <w:abstractNumId w:val="0"/>
  </w:num>
  <w:num w:numId="5" w16cid:durableId="174391499">
    <w:abstractNumId w:val="3"/>
  </w:num>
  <w:num w:numId="6" w16cid:durableId="12800661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3B7FBE"/>
    <w:rsid w:val="005F5638"/>
    <w:rsid w:val="00AE36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sz w:val="24"/>
      <w:szCs w:val="24"/>
    </w:rPr>
  </w:style>
  <w:style w:type="paragraph" w:styleId="Ttulo2">
    <w:name w:val="heading 2"/>
    <w:basedOn w:val="Normal"/>
    <w:next w:val="Normal"/>
    <w:uiPriority w:val="9"/>
    <w:unhideWhenUsed/>
    <w:qFormat/>
    <w:pPr>
      <w:keepNext/>
      <w:keepLines/>
      <w:ind w:left="360"/>
      <w:outlineLvl w:val="1"/>
    </w:pPr>
    <w:rPr>
      <w:b/>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7771/pucrio.osq.58558" TargetMode="External"/><Relationship Id="rId3" Type="http://schemas.openxmlformats.org/officeDocument/2006/relationships/settings" Target="settings.xml"/><Relationship Id="rId7" Type="http://schemas.openxmlformats.org/officeDocument/2006/relationships/hyperlink" Target="https://doi.org/10.25091/s0101330020200003000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6063</Words>
  <Characters>32744</Characters>
  <Application>Microsoft Office Word</Application>
  <DocSecurity>0</DocSecurity>
  <Lines>272</Lines>
  <Paragraphs>77</Paragraphs>
  <ScaleCrop>false</ScaleCrop>
  <Company/>
  <LinksUpToDate>false</LinksUpToDate>
  <CharactersWithSpaces>38730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2</cp:revision>
  <dcterms:created xsi:type="dcterms:W3CDTF">2025-05-26T23:26:00Z</dcterms:created>
  <dcterms:modified xsi:type="dcterms:W3CDTF">2025-05-26T23:29:00Z</dcterms:modified>
</cp:coreProperties>
</file>