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Tabela 1 – Efeito da Pandemia na Transição para o Emprego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34"/>
        <w:gridCol w:w="1477"/>
        <w:gridCol w:w="1755"/>
      </w:tblGrid>
      <w:tr>
        <w:trPr>
          <w:trHeight w:val="59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(1) DiD 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(2) DiD Robusto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Mulher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(0.001)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Ensino Médio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-0.009***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Ensino 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Jovem (18-24 anos)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-0.011***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Jovem Adulto (25-29 anos)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Durante Pandemia × Pardo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Pós-Pandemia × Pardo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Durante Pandemia × Preto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-0.007*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(0.004)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Pós-Pandemia × Preto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-0.003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Durante Pandemia × Ens. 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Durante Pandemia × Jovem Adulto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0.030***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(0.003)</w:t>
            </w:r>
          </w:p>
        </w:tc>
      </w:tr>
      <w:tr>
        <w:trPr>
          <w:trHeight w:val="5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Observações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1885621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1885621</w:t>
            </w:r>
          </w:p>
        </w:tc>
      </w:tr>
      <w:tr>
        <w:trPr>
          <w:trHeight w:val="54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Fonte: Elaborado pelo autor (2026) com base nos microdados da PNAD Contínua.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2026-05-22T23:53:07Z</dcterms:modified>
  <cp:category/>
</cp:coreProperties>
</file>