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Tabela 2 – Estimação da Função de Matching Juvenil (2012-2025)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2"/>
        <w:gridCol w:w="3121"/>
      </w:tblGrid>
      <w:tr>
        <w:trPr>
          <w:trHeight w:val="59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Matching Cobb-Douglas (Jovens)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ln_U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-0.039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(0.051)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ln_E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0.603**</w:t>
            </w:r>
          </w:p>
        </w:tc>
      </w:tr>
      <w:tr>
        <w:trPr>
          <w:trHeight w:val="59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(0.188)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1485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0.993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0.993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 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0.108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 Within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0.106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-2260.9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-1820.8</w:t>
            </w:r>
          </w:p>
        </w:tc>
      </w:tr>
      <w:tr>
        <w:trPr>
          <w:trHeight w:val="54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</w:tr>
      <w:tr>
        <w:trPr>
          <w:trHeight w:val="59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FE: Trimestre_Ano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</w:tr>
      <w:tr>
        <w:trPr>
          <w:trHeight w:val="59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FE: UF_Sigla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 (2026) com base nos microdados da PNAD Contínua e CAGED.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2026-05-22T23:53:07Z</dcterms:modified>
  <cp:category/>
</cp:coreProperties>
</file>