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2354"/>
        <w:gridCol w:w="1682"/>
        <w:gridCol w:w="1156"/>
        <w:gridCol w:w="1080"/>
        <w:gridCol w:w="2270"/>
      </w:tblGrid>
      <w:tr>
        <w:trPr>
          <w:trHeight w:val="617" w:hRule="auto"/>
          <w:tblHeader/>
        </w:trPr>
        <w:tc>
          <w:tcPr>
            <w:gridSpan w:val="6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Tabela 1 - Estimativas de Efeitos Dinâmicos (Estudo de Eventos)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Meses para o Tratamento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Efeito Médio (ATT)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Erro-Padrão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Sig.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IC (95%)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[-0.0709 a 0.6347]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[-0.7171 a 0.0387]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[-0.0775 a 0.2819]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[-0.2402 a 0.1468]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[-0.0145 a 0.2885]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[-0.012 a 0.3604]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[-0.2732 a 0.0874]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[-0.5121 a -0.2655]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[-0.1818 a 0.073]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[0.1722 a 0.4412]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[-0.3409 a -0.0591]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[-0.142 a 0.1484]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[-0.0253 a 0.2915]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[-0.314 a 0.0454]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[-0.0363 a 0.2847]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[-0.1656 a 0.1084]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[-0.4212 a -0.0116]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[0.211 a 0.6226]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[-0.1998 a 0.0464]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[-0.1954 a 0.1226]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[-0.2517 a 3e-04]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[-0.1569 a 0.0979]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[-0.1753 a 0.1253]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[-0.1199 a 0.1337]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[-0.1225 a 0.3981]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[-0.1196 a 0.234]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[-0.1164 a 0.153]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[-0.3274 a 0.243]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[-0.0403 a 0.2243]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[0.172 a 0.4386]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[0.1963 a 0.4977]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[-0.0551 a 0.1855]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[-0.0954 a 0.1932]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[-0.1254 a 0.1368]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[-0.0761 a 0.2195]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[-0.0755 a 0.2087]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[-0.0134 a 0.5888]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[-0.1887 a 0.1425]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[-0.1284 a 0.3832]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[0.0343 a 0.3181]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[-0.0733 a 0.2015]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[0.0356 a 0.352]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[0.143 a 0.3982]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[-0.1146 a 0.1652]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[-0.0817 a 0.2033]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[-0.145 a 0.2576]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[0.0744 a 0.335]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[-0.1564 a 0.1216]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[-0.0323 a 0.2385]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Elaboração própria com dados do Ministério do Trabalho (Novo CAGED), IBGE e Santini (2024).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Notas: *** p &lt; 0.01, ** p &lt; 0.05, * p &lt; 0.1.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 Efeito Médio do Tratamento Agregado (Overall ATT) estimado foi de 0,1234 (Erro-padrão: 0,0406).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2026-05-27T10:17:30Z</dcterms:modified>
  <cp:category/>
</cp:coreProperties>
</file>