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 – Efeito da Pandemia na Transição para o Emprego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34"/>
        <w:gridCol w:w="1477"/>
        <w:gridCol w:w="1755"/>
      </w:tblGrid>
      <w:tr>
        <w:trPr>
          <w:trHeight w:val="59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(1) DiD 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(2) DiD Robusto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Mulher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Ensino Médio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Ensino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Jovem (18-24 anos)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Jovem Adulto (25-29 anos)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Durante Pandemia × Pardo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Pós-Pandemia × Pardo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Durante Pandemia ×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(0.004)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Pós-Pandemia ×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Durante Pandemia × Ens.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Durante Pandemia × Jovem Adulto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0.030***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(0.003)</w:t>
            </w:r>
          </w:p>
        </w:tc>
      </w:tr>
      <w:tr>
        <w:trPr>
          <w:trHeight w:val="5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1885621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1885621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(2026) com base nos microdados da PNAD Contínua.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2026-05-25T11:05:22Z</dcterms:modified>
  <cp:category/>
</cp:coreProperties>
</file>