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Tabela 2 – Estimação da Função de Matching Juvenil (2012-2025)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972"/>
        <w:gridCol w:w="3121"/>
      </w:tblGrid>
      <w:tr>
        <w:trPr>
          <w:trHeight w:val="593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 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Matching Cobb-Douglas (Jovens)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ln_U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-0.039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(0.051)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ln_E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0.603**</w:t>
            </w:r>
          </w:p>
        </w:tc>
      </w:tr>
      <w:tr>
        <w:trPr>
          <w:trHeight w:val="59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(0.188)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Num.Obs.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1485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0.993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0.993</w:t>
            </w:r>
          </w:p>
        </w:tc>
      </w:tr>
      <w:tr>
        <w:trPr>
          <w:trHeight w:val="55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 Within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0.108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R2 Within Adj.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0.106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AIC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-2260.9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BIC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-1820.8</w:t>
            </w:r>
          </w:p>
        </w:tc>
      </w:tr>
      <w:tr>
        <w:trPr>
          <w:trHeight w:val="549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RMSE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0.11</w:t>
            </w:r>
          </w:p>
        </w:tc>
      </w:tr>
      <w:tr>
        <w:trPr>
          <w:trHeight w:val="59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FE: Trimestre_Ano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</w:t>
            </w:r>
          </w:p>
        </w:tc>
      </w:tr>
      <w:tr>
        <w:trPr>
          <w:trHeight w:val="59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FE: UF_Sigla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X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Fonte: Elaborado pelo autor (2026) com base nos microdados da PNAD Contínua e CAGED.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2026-05-25T11:05:24Z</dcterms:modified>
  <cp:category/>
</cp:coreProperties>
</file>