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49DF" w:rsidRDefault="00BD49DF" w:rsidP="00BD49DF">
      <w:pPr>
        <w:jc w:val="center"/>
      </w:pPr>
      <w:r>
        <w:rPr>
          <w:noProof/>
          <w:lang w:eastAsia="pt-BR"/>
        </w:rPr>
        <w:drawing>
          <wp:inline distT="0" distB="0" distL="0" distR="0">
            <wp:extent cx="2999238" cy="1219202"/>
            <wp:effectExtent l="0" t="0" r="0" b="0"/>
            <wp:docPr id="2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Logotipo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238" cy="1219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9DF" w:rsidRDefault="00BD49DF" w:rsidP="00BD49DF">
      <w:pPr>
        <w:jc w:val="center"/>
      </w:pPr>
    </w:p>
    <w:p w:rsidR="00BD49DF" w:rsidRDefault="00BD49DF" w:rsidP="002B4F96"/>
    <w:p w:rsidR="00BD49DF" w:rsidRPr="002B4F96" w:rsidRDefault="002B4F96" w:rsidP="00BD49DF">
      <w:pPr>
        <w:jc w:val="center"/>
        <w:rPr>
          <w:b/>
          <w:bCs/>
          <w:sz w:val="28"/>
          <w:szCs w:val="28"/>
          <w:lang w:eastAsia="pt-BR"/>
        </w:rPr>
      </w:pPr>
      <w:r w:rsidRPr="002B4F96">
        <w:rPr>
          <w:b/>
          <w:bCs/>
          <w:sz w:val="28"/>
          <w:szCs w:val="28"/>
          <w:lang w:eastAsia="pt-BR"/>
        </w:rPr>
        <w:t>RELATÓRIO FINAL</w:t>
      </w:r>
    </w:p>
    <w:p w:rsidR="00BD49DF" w:rsidRPr="0035372E" w:rsidRDefault="00BD49DF" w:rsidP="00BD49DF">
      <w:pPr>
        <w:jc w:val="center"/>
        <w:rPr>
          <w:b/>
          <w:bCs/>
          <w:lang w:eastAsia="pt-BR"/>
        </w:rPr>
      </w:pPr>
      <w:r w:rsidRPr="0035372E">
        <w:rPr>
          <w:b/>
          <w:bCs/>
          <w:sz w:val="28"/>
          <w:szCs w:val="28"/>
          <w:lang w:eastAsia="pt-BR"/>
        </w:rPr>
        <w:t>PLATAFORMA DE TESTES AUTÔNOMA VIDA:</w:t>
      </w:r>
    </w:p>
    <w:p w:rsidR="00BD49DF" w:rsidRPr="0060088D" w:rsidRDefault="00BD49DF" w:rsidP="00BD49DF">
      <w:pPr>
        <w:jc w:val="center"/>
        <w:rPr>
          <w:sz w:val="28"/>
          <w:szCs w:val="28"/>
          <w:lang w:eastAsia="pt-BR"/>
        </w:rPr>
      </w:pPr>
      <w:r w:rsidRPr="0060088D">
        <w:rPr>
          <w:sz w:val="28"/>
          <w:szCs w:val="28"/>
          <w:lang w:eastAsia="pt-BR"/>
        </w:rPr>
        <w:t>Implementação d</w:t>
      </w:r>
      <w:r>
        <w:rPr>
          <w:sz w:val="28"/>
          <w:szCs w:val="28"/>
          <w:lang w:eastAsia="pt-BR"/>
        </w:rPr>
        <w:t>e</w:t>
      </w:r>
      <w:r w:rsidRPr="0060088D">
        <w:rPr>
          <w:sz w:val="28"/>
          <w:szCs w:val="28"/>
          <w:lang w:eastAsia="pt-BR"/>
        </w:rPr>
        <w:t xml:space="preserve"> </w:t>
      </w:r>
      <w:r>
        <w:rPr>
          <w:sz w:val="28"/>
          <w:szCs w:val="28"/>
          <w:lang w:eastAsia="pt-BR"/>
        </w:rPr>
        <w:t xml:space="preserve">hardware e software para estimação do consumo energético do </w:t>
      </w:r>
      <w:r w:rsidRPr="0060088D">
        <w:rPr>
          <w:sz w:val="28"/>
          <w:szCs w:val="28"/>
          <w:lang w:eastAsia="pt-BR"/>
        </w:rPr>
        <w:t>veículo</w:t>
      </w:r>
    </w:p>
    <w:p w:rsidR="00BD49DF" w:rsidRPr="0035372E" w:rsidRDefault="00BD49DF" w:rsidP="00BD49DF">
      <w:pPr>
        <w:jc w:val="center"/>
        <w:rPr>
          <w:sz w:val="28"/>
          <w:szCs w:val="28"/>
          <w:lang w:eastAsia="pt-BR"/>
        </w:rPr>
      </w:pPr>
    </w:p>
    <w:p w:rsidR="00BD49DF" w:rsidRDefault="00BD49DF" w:rsidP="00BD49DF">
      <w:pPr>
        <w:jc w:val="center"/>
        <w:rPr>
          <w:lang w:eastAsia="pt-BR"/>
        </w:rPr>
      </w:pPr>
    </w:p>
    <w:p w:rsidR="00BD49DF" w:rsidRDefault="00BD49DF" w:rsidP="00BD49DF">
      <w:pPr>
        <w:spacing w:line="240" w:lineRule="auto"/>
        <w:ind w:left="4253"/>
        <w:jc w:val="both"/>
        <w:rPr>
          <w:szCs w:val="20"/>
          <w:lang w:eastAsia="pt-BR"/>
        </w:rPr>
      </w:pPr>
      <w:r>
        <w:rPr>
          <w:szCs w:val="20"/>
          <w:lang w:eastAsia="pt-BR"/>
        </w:rPr>
        <w:t xml:space="preserve">Relatório Final </w:t>
      </w:r>
      <w:r w:rsidR="002B4F96">
        <w:rPr>
          <w:szCs w:val="20"/>
          <w:lang w:eastAsia="pt-BR"/>
        </w:rPr>
        <w:t xml:space="preserve">de Iniciação Científica apresentado à </w:t>
      </w:r>
      <w:r w:rsidRPr="0038481F">
        <w:rPr>
          <w:szCs w:val="20"/>
          <w:lang w:eastAsia="pt-BR"/>
        </w:rPr>
        <w:t>Universidade Federal de Lavras, como parte das exigências do</w:t>
      </w:r>
      <w:r w:rsidR="002B4F96">
        <w:rPr>
          <w:szCs w:val="20"/>
          <w:lang w:eastAsia="pt-BR"/>
        </w:rPr>
        <w:t xml:space="preserve"> Programa Institucional Voluntário de Iniciação Científica PIV</w:t>
      </w:r>
      <w:r w:rsidRPr="0038481F">
        <w:rPr>
          <w:szCs w:val="20"/>
          <w:lang w:eastAsia="pt-BR"/>
        </w:rPr>
        <w:t>IC</w:t>
      </w:r>
      <w:r w:rsidR="002B4F96">
        <w:rPr>
          <w:szCs w:val="20"/>
          <w:lang w:eastAsia="pt-BR"/>
        </w:rPr>
        <w:t>, referente ao período encerrado em 28/02</w:t>
      </w:r>
      <w:r w:rsidRPr="00617AA7">
        <w:rPr>
          <w:szCs w:val="20"/>
          <w:lang w:eastAsia="pt-BR"/>
        </w:rPr>
        <w:t>/2026</w:t>
      </w:r>
      <w:r w:rsidRPr="0038481F">
        <w:rPr>
          <w:szCs w:val="20"/>
          <w:lang w:eastAsia="pt-BR"/>
        </w:rPr>
        <w:t>.</w:t>
      </w:r>
    </w:p>
    <w:p w:rsidR="00BD49DF" w:rsidRPr="00617AA7" w:rsidRDefault="00BD49DF" w:rsidP="00BD49DF">
      <w:pPr>
        <w:spacing w:line="240" w:lineRule="auto"/>
        <w:jc w:val="center"/>
        <w:rPr>
          <w:szCs w:val="20"/>
          <w:lang w:eastAsia="pt-BR"/>
        </w:rPr>
      </w:pPr>
    </w:p>
    <w:p w:rsidR="00BD49DF" w:rsidRPr="00894BD9" w:rsidRDefault="00BD49DF" w:rsidP="00BD49DF">
      <w:pPr>
        <w:spacing w:line="240" w:lineRule="auto"/>
        <w:rPr>
          <w:shd w:val="clear" w:color="auto" w:fill="FFFFFF"/>
        </w:rPr>
      </w:pPr>
    </w:p>
    <w:p w:rsidR="00BD49DF" w:rsidRPr="0038481F" w:rsidRDefault="002B4F96" w:rsidP="00BD49DF">
      <w:pPr>
        <w:spacing w:line="240" w:lineRule="auto"/>
        <w:jc w:val="center"/>
        <w:rPr>
          <w:lang w:eastAsia="pt-BR"/>
        </w:rPr>
      </w:pPr>
      <w:r>
        <w:rPr>
          <w:lang w:eastAsia="pt-BR"/>
        </w:rPr>
        <w:t>Aluno</w:t>
      </w:r>
      <w:r w:rsidR="00BD49DF" w:rsidRPr="0038481F">
        <w:rPr>
          <w:lang w:eastAsia="pt-BR"/>
        </w:rPr>
        <w:t xml:space="preserve">: </w:t>
      </w:r>
      <w:r w:rsidR="00BD49DF">
        <w:rPr>
          <w:lang w:eastAsia="pt-BR"/>
        </w:rPr>
        <w:t>Alexandre Reis Francisco Júnior</w:t>
      </w:r>
    </w:p>
    <w:p w:rsidR="00BD49DF" w:rsidRPr="0038481F" w:rsidRDefault="00BD49DF" w:rsidP="00BD49DF">
      <w:pPr>
        <w:spacing w:line="240" w:lineRule="auto"/>
        <w:jc w:val="center"/>
        <w:rPr>
          <w:lang w:eastAsia="pt-BR"/>
        </w:rPr>
      </w:pPr>
      <w:r w:rsidRPr="0038481F">
        <w:rPr>
          <w:lang w:eastAsia="pt-BR"/>
        </w:rPr>
        <w:t xml:space="preserve">E-mail: </w:t>
      </w:r>
      <w:r>
        <w:rPr>
          <w:lang w:eastAsia="pt-BR"/>
        </w:rPr>
        <w:t>alexandre.junior5</w:t>
      </w:r>
      <w:r w:rsidRPr="0038481F">
        <w:rPr>
          <w:lang w:eastAsia="pt-BR"/>
        </w:rPr>
        <w:t>@estudante.ufla.br</w:t>
      </w:r>
    </w:p>
    <w:p w:rsidR="00BD49DF" w:rsidRPr="00F206A2" w:rsidRDefault="00BD49DF" w:rsidP="00BD49DF">
      <w:pPr>
        <w:spacing w:line="240" w:lineRule="auto"/>
        <w:jc w:val="center"/>
        <w:rPr>
          <w:lang w:val="en-US" w:eastAsia="pt-BR"/>
        </w:rPr>
      </w:pPr>
      <w:r w:rsidRPr="00B73D89">
        <w:rPr>
          <w:lang w:val="en-US" w:eastAsia="pt-BR"/>
        </w:rPr>
        <w:t xml:space="preserve">Lattes: </w:t>
      </w:r>
      <w:r w:rsidRPr="00F206A2">
        <w:rPr>
          <w:lang w:val="en-US" w:eastAsia="pt-BR"/>
        </w:rPr>
        <w:t>http://lattes.cnpq.br/2777681222261494</w:t>
      </w:r>
    </w:p>
    <w:p w:rsidR="00BD49DF" w:rsidRPr="00F206A2" w:rsidRDefault="00BD49DF" w:rsidP="00BD49DF">
      <w:pPr>
        <w:spacing w:line="360" w:lineRule="auto"/>
        <w:jc w:val="center"/>
        <w:rPr>
          <w:lang w:val="en-US" w:eastAsia="pt-BR"/>
        </w:rPr>
      </w:pPr>
    </w:p>
    <w:p w:rsidR="00BD49DF" w:rsidRPr="0038481F" w:rsidRDefault="00BD49DF" w:rsidP="00BD49DF">
      <w:pPr>
        <w:spacing w:line="240" w:lineRule="auto"/>
        <w:jc w:val="center"/>
        <w:rPr>
          <w:lang w:eastAsia="pt-BR"/>
        </w:rPr>
      </w:pPr>
      <w:r w:rsidRPr="0038481F">
        <w:rPr>
          <w:lang w:eastAsia="pt-BR"/>
        </w:rPr>
        <w:t>Orientador: Prof. Dr. Danilo Alves de Lima</w:t>
      </w:r>
    </w:p>
    <w:p w:rsidR="00BD49DF" w:rsidRPr="00F206A2" w:rsidRDefault="00BD49DF" w:rsidP="00BD49DF">
      <w:pPr>
        <w:spacing w:line="240" w:lineRule="auto"/>
        <w:jc w:val="center"/>
        <w:rPr>
          <w:lang w:val="fr-FR" w:eastAsia="pt-BR"/>
        </w:rPr>
      </w:pPr>
      <w:r w:rsidRPr="00F206A2">
        <w:rPr>
          <w:lang w:val="fr-FR" w:eastAsia="pt-BR"/>
        </w:rPr>
        <w:t>E-mail: danilo.delima@ufla.br - Ramal: 2</w:t>
      </w:r>
      <w:r>
        <w:rPr>
          <w:lang w:val="fr-FR" w:eastAsia="pt-BR"/>
        </w:rPr>
        <w:t>174</w:t>
      </w:r>
    </w:p>
    <w:p w:rsidR="00BD49DF" w:rsidRPr="00F206A2" w:rsidRDefault="00BD49DF" w:rsidP="00BD49DF">
      <w:pPr>
        <w:spacing w:line="240" w:lineRule="auto"/>
        <w:jc w:val="center"/>
        <w:rPr>
          <w:highlight w:val="white"/>
          <w:lang w:val="fr-FR" w:eastAsia="pt-BR"/>
        </w:rPr>
      </w:pPr>
      <w:r w:rsidRPr="00F206A2">
        <w:rPr>
          <w:lang w:val="fr-FR" w:eastAsia="pt-BR"/>
        </w:rPr>
        <w:t xml:space="preserve">Lattes: </w:t>
      </w:r>
      <w:r w:rsidRPr="00F206A2">
        <w:rPr>
          <w:highlight w:val="white"/>
          <w:lang w:val="fr-FR" w:eastAsia="pt-BR"/>
        </w:rPr>
        <w:t>http://lattes.cnpq.br/8231212078243188</w:t>
      </w:r>
    </w:p>
    <w:p w:rsidR="00BD49DF" w:rsidRPr="00F206A2" w:rsidRDefault="00BD49DF" w:rsidP="00BD49DF">
      <w:pPr>
        <w:spacing w:line="360" w:lineRule="auto"/>
        <w:jc w:val="center"/>
        <w:rPr>
          <w:highlight w:val="white"/>
          <w:lang w:val="fr-FR" w:eastAsia="pt-BR"/>
        </w:rPr>
      </w:pPr>
    </w:p>
    <w:p w:rsidR="00BD49DF" w:rsidRPr="00F206A2" w:rsidRDefault="00BD49DF" w:rsidP="00BD49DF">
      <w:pPr>
        <w:spacing w:line="240" w:lineRule="auto"/>
        <w:jc w:val="center"/>
        <w:rPr>
          <w:szCs w:val="20"/>
          <w:lang w:val="fr-FR" w:eastAsia="pt-BR"/>
        </w:rPr>
      </w:pPr>
    </w:p>
    <w:p w:rsidR="00BD49DF" w:rsidRDefault="00BD49DF" w:rsidP="00BD49DF">
      <w:pPr>
        <w:jc w:val="center"/>
      </w:pPr>
      <w:r>
        <w:t>Lavras MG</w:t>
      </w:r>
    </w:p>
    <w:p w:rsidR="00BD49DF" w:rsidRDefault="00BD49DF" w:rsidP="00BD49DF">
      <w:pPr>
        <w:jc w:val="center"/>
      </w:pPr>
      <w:r>
        <w:t>Março</w:t>
      </w:r>
      <w:r>
        <w:t xml:space="preserve"> de </w:t>
      </w:r>
      <w:r>
        <w:t>2026</w:t>
      </w:r>
      <w:r>
        <w:br w:type="page"/>
      </w:r>
    </w:p>
    <w:sdt>
      <w:sdtPr>
        <w:rPr>
          <w:rFonts w:ascii="Arial" w:eastAsiaTheme="minorHAnsi" w:hAnsi="Arial" w:cs="Arial"/>
          <w:b/>
          <w:bCs/>
          <w:color w:val="auto"/>
          <w:kern w:val="2"/>
          <w:sz w:val="28"/>
          <w:szCs w:val="28"/>
          <w:lang w:eastAsia="en-US"/>
        </w:rPr>
        <w:id w:val="-1539038931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:rsidR="00BD49DF" w:rsidRDefault="00BD49DF" w:rsidP="00BD49DF">
          <w:pPr>
            <w:pStyle w:val="CabealhodoSumrio"/>
            <w:jc w:val="center"/>
            <w:rPr>
              <w:rFonts w:ascii="Arial" w:hAnsi="Arial" w:cs="Arial"/>
              <w:b/>
              <w:bCs/>
              <w:color w:val="auto"/>
              <w:sz w:val="28"/>
              <w:szCs w:val="28"/>
            </w:rPr>
          </w:pPr>
          <w:r w:rsidRPr="009917D1"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SUMÁRIO</w:t>
          </w:r>
        </w:p>
        <w:p w:rsidR="00BD49DF" w:rsidRDefault="00BD49DF" w:rsidP="00BD49DF"/>
        <w:p w:rsidR="00BD49DF" w:rsidRDefault="00BD49DF" w:rsidP="00BD49DF"/>
        <w:p w:rsidR="00BD49DF" w:rsidRDefault="00BD49DF" w:rsidP="002B4F96">
          <w:pPr>
            <w:pStyle w:val="Sumrio1"/>
            <w:rPr>
              <w:rFonts w:eastAsiaTheme="minorEastAsia" w:cstheme="minorBidi"/>
              <w:kern w:val="0"/>
              <w:sz w:val="22"/>
              <w:szCs w:val="22"/>
              <w:lang w:eastAsia="pt-BR"/>
            </w:rPr>
          </w:pPr>
          <w:r w:rsidRPr="00580970">
            <w:rPr>
              <w:rFonts w:ascii="Arial" w:hAnsi="Arial"/>
              <w:i/>
              <w:iCs/>
              <w:sz w:val="22"/>
              <w:szCs w:val="22"/>
            </w:rPr>
            <w:fldChar w:fldCharType="begin"/>
          </w:r>
          <w:r w:rsidRPr="009917D1">
            <w:rPr>
              <w:rFonts w:ascii="Arial" w:hAnsi="Arial"/>
              <w:i/>
              <w:iCs/>
              <w:sz w:val="22"/>
              <w:szCs w:val="22"/>
            </w:rPr>
            <w:instrText xml:space="preserve"> TOC \o "1-3" \h \z \u </w:instrText>
          </w:r>
          <w:r w:rsidRPr="00580970">
            <w:rPr>
              <w:rFonts w:ascii="Arial" w:hAnsi="Arial"/>
              <w:i/>
              <w:iCs/>
              <w:sz w:val="22"/>
              <w:szCs w:val="22"/>
            </w:rPr>
            <w:fldChar w:fldCharType="separate"/>
          </w:r>
          <w:hyperlink w:anchor="_Toc200029176" w:history="1">
            <w:r w:rsidRPr="001E65C8">
              <w:rPr>
                <w:rStyle w:val="Hyperlink"/>
              </w:rPr>
              <w:t>1.</w:t>
            </w:r>
            <w:r>
              <w:rPr>
                <w:rFonts w:eastAsiaTheme="minorEastAsia" w:cstheme="minorBidi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Introdução e 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_Toc200029176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2B4F96">
          <w:pPr>
            <w:pStyle w:val="Sumrio1"/>
            <w:rPr>
              <w:rFonts w:eastAsiaTheme="minorEastAsia" w:cstheme="minorBidi"/>
              <w:kern w:val="0"/>
              <w:sz w:val="22"/>
              <w:szCs w:val="22"/>
              <w:lang w:eastAsia="pt-BR"/>
            </w:rPr>
          </w:pPr>
          <w:hyperlink w:anchor="_Toc200029177" w:history="1">
            <w:r w:rsidRPr="001E65C8">
              <w:rPr>
                <w:rStyle w:val="Hyperlink"/>
              </w:rPr>
              <w:t>2.</w:t>
            </w:r>
            <w:r>
              <w:rPr>
                <w:rFonts w:eastAsiaTheme="minorEastAsia" w:cstheme="minorBidi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Objetivos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2B4F96">
          <w:pPr>
            <w:pStyle w:val="Sumrio1"/>
            <w:rPr>
              <w:rFonts w:eastAsiaTheme="minorEastAsia" w:cstheme="minorBidi"/>
              <w:kern w:val="0"/>
              <w:sz w:val="22"/>
              <w:szCs w:val="22"/>
              <w:lang w:eastAsia="pt-BR"/>
            </w:rPr>
          </w:pPr>
          <w:hyperlink w:anchor="_Toc200029178" w:history="1">
            <w:r w:rsidRPr="001E65C8">
              <w:rPr>
                <w:rStyle w:val="Hyperlink"/>
              </w:rPr>
              <w:t>3.</w:t>
            </w:r>
            <w:r>
              <w:rPr>
                <w:rFonts w:eastAsiaTheme="minorEastAsia" w:cstheme="minorBidi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_Toc200029178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BD49DF">
          <w:pPr>
            <w:pStyle w:val="Sumrio2"/>
            <w:rPr>
              <w:rFonts w:eastAsiaTheme="minorEastAsia" w:cstheme="minorBidi"/>
              <w:b w:val="0"/>
              <w:bCs w:val="0"/>
              <w:smallCaps w:val="0"/>
              <w:kern w:val="0"/>
              <w:sz w:val="22"/>
              <w:szCs w:val="22"/>
              <w:lang w:eastAsia="pt-BR"/>
            </w:rPr>
          </w:pPr>
          <w:hyperlink w:anchor="_Toc200029208" w:history="1">
            <w:r w:rsidRPr="001E65C8">
              <w:rPr>
                <w:rStyle w:val="Hyperlink"/>
              </w:rPr>
              <w:t>3.1.</w:t>
            </w:r>
            <w:r>
              <w:rPr>
                <w:rFonts w:eastAsiaTheme="minorEastAsia" w:cstheme="minorBidi"/>
                <w:b w:val="0"/>
                <w:bCs w:val="0"/>
                <w:smallCaps w:val="0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Instrumentação do sistema de medição de energia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_Toc200029208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BD49DF">
          <w:pPr>
            <w:pStyle w:val="Sumrio2"/>
            <w:rPr>
              <w:rFonts w:eastAsiaTheme="minorEastAsia" w:cstheme="minorBidi"/>
              <w:b w:val="0"/>
              <w:bCs w:val="0"/>
              <w:smallCaps w:val="0"/>
              <w:kern w:val="0"/>
              <w:sz w:val="22"/>
              <w:szCs w:val="22"/>
              <w:lang w:eastAsia="pt-BR"/>
            </w:rPr>
          </w:pPr>
          <w:hyperlink w:anchor="_Toc200029209" w:history="1">
            <w:r w:rsidRPr="001E65C8">
              <w:rPr>
                <w:rStyle w:val="Hyperlink"/>
              </w:rPr>
              <w:t>3.2.</w:t>
            </w:r>
            <w:r>
              <w:rPr>
                <w:rFonts w:eastAsiaTheme="minorEastAsia" w:cstheme="minorBidi"/>
                <w:b w:val="0"/>
                <w:bCs w:val="0"/>
                <w:smallCaps w:val="0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Desenvolvimento do sistema de estimação de consumo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_Toc200029209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BD49DF">
          <w:pPr>
            <w:pStyle w:val="Sumrio2"/>
            <w:rPr>
              <w:rFonts w:eastAsiaTheme="minorEastAsia" w:cstheme="minorBidi"/>
              <w:b w:val="0"/>
              <w:bCs w:val="0"/>
              <w:smallCaps w:val="0"/>
              <w:kern w:val="0"/>
              <w:sz w:val="22"/>
              <w:szCs w:val="22"/>
              <w:lang w:eastAsia="pt-BR"/>
            </w:rPr>
          </w:pPr>
          <w:hyperlink w:anchor="_Toc200029210" w:history="1">
            <w:r w:rsidRPr="001E65C8">
              <w:rPr>
                <w:rStyle w:val="Hyperlink"/>
              </w:rPr>
              <w:t>3.3.</w:t>
            </w:r>
            <w:r>
              <w:rPr>
                <w:rFonts w:eastAsiaTheme="minorEastAsia" w:cstheme="minorBidi"/>
                <w:b w:val="0"/>
                <w:bCs w:val="0"/>
                <w:smallCaps w:val="0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Análise e modelagem da relação entre demanda e topologia da rota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_Toc200029210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BD49DF">
          <w:pPr>
            <w:pStyle w:val="Sumrio2"/>
            <w:rPr>
              <w:rFonts w:eastAsiaTheme="minorEastAsia" w:cstheme="minorBidi"/>
              <w:b w:val="0"/>
              <w:bCs w:val="0"/>
              <w:smallCaps w:val="0"/>
              <w:kern w:val="0"/>
              <w:sz w:val="22"/>
              <w:szCs w:val="22"/>
              <w:lang w:eastAsia="pt-BR"/>
            </w:rPr>
          </w:pPr>
          <w:hyperlink w:anchor="_Toc200029211" w:history="1">
            <w:r w:rsidRPr="001E65C8">
              <w:rPr>
                <w:rStyle w:val="Hyperlink"/>
              </w:rPr>
              <w:t>3.4.</w:t>
            </w:r>
            <w:r>
              <w:rPr>
                <w:rFonts w:eastAsiaTheme="minorEastAsia" w:cstheme="minorBidi"/>
                <w:b w:val="0"/>
                <w:bCs w:val="0"/>
                <w:smallCaps w:val="0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Validação experimental e refinamento do modelo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_Toc200029211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BD49DF">
          <w:pPr>
            <w:pStyle w:val="Sumrio2"/>
            <w:rPr>
              <w:rFonts w:eastAsiaTheme="minorEastAsia" w:cstheme="minorBidi"/>
              <w:b w:val="0"/>
              <w:bCs w:val="0"/>
              <w:smallCaps w:val="0"/>
              <w:kern w:val="0"/>
              <w:sz w:val="22"/>
              <w:szCs w:val="22"/>
              <w:lang w:eastAsia="pt-BR"/>
            </w:rPr>
          </w:pPr>
          <w:hyperlink w:anchor="_Toc200029212" w:history="1">
            <w:r w:rsidRPr="001E65C8">
              <w:rPr>
                <w:rStyle w:val="Hyperlink"/>
              </w:rPr>
              <w:t>3.5.</w:t>
            </w:r>
            <w:r>
              <w:rPr>
                <w:rFonts w:eastAsiaTheme="minorEastAsia" w:cstheme="minorBidi"/>
                <w:b w:val="0"/>
                <w:bCs w:val="0"/>
                <w:smallCaps w:val="0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Integração dos dados de consumo energético com a interface gráfica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_Toc200029212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BD49DF">
          <w:pPr>
            <w:pStyle w:val="Sumrio2"/>
            <w:rPr>
              <w:rFonts w:eastAsiaTheme="minorEastAsia" w:cstheme="minorBidi"/>
              <w:b w:val="0"/>
              <w:bCs w:val="0"/>
              <w:smallCaps w:val="0"/>
              <w:kern w:val="0"/>
              <w:sz w:val="22"/>
              <w:szCs w:val="22"/>
              <w:lang w:eastAsia="pt-BR"/>
            </w:rPr>
          </w:pPr>
          <w:hyperlink w:anchor="_Toc200029213" w:history="1">
            <w:r w:rsidRPr="001E65C8">
              <w:rPr>
                <w:rStyle w:val="Hyperlink"/>
              </w:rPr>
              <w:t>3.6.</w:t>
            </w:r>
            <w:r>
              <w:rPr>
                <w:rFonts w:eastAsiaTheme="minorEastAsia" w:cstheme="minorBidi"/>
                <w:b w:val="0"/>
                <w:bCs w:val="0"/>
                <w:smallCaps w:val="0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Comparação com modelos de consumo da literatura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_Toc200029213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2B4F96">
          <w:pPr>
            <w:pStyle w:val="Sumrio1"/>
            <w:rPr>
              <w:rFonts w:eastAsiaTheme="minorEastAsia" w:cstheme="minorBidi"/>
              <w:kern w:val="0"/>
              <w:sz w:val="22"/>
              <w:szCs w:val="22"/>
              <w:lang w:eastAsia="pt-BR"/>
            </w:rPr>
          </w:pPr>
          <w:hyperlink w:anchor="_Toc200029214" w:history="1">
            <w:r w:rsidRPr="001E65C8">
              <w:rPr>
                <w:rStyle w:val="Hyperlink"/>
              </w:rPr>
              <w:t>4.</w:t>
            </w:r>
            <w:r>
              <w:rPr>
                <w:rFonts w:eastAsiaTheme="minorEastAsia" w:cstheme="minorBidi"/>
                <w:kern w:val="0"/>
                <w:sz w:val="22"/>
                <w:szCs w:val="22"/>
                <w:lang w:eastAsia="pt-BR"/>
              </w:rPr>
              <w:tab/>
            </w:r>
            <w:r w:rsidR="002B4F96">
              <w:rPr>
                <w:rStyle w:val="Hyperlink"/>
              </w:rPr>
              <w:t>Resultados e Discussões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_Toc200029214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2B4F96" w:rsidRPr="002B4F96" w:rsidRDefault="002B4F96" w:rsidP="002B4F96">
          <w:pPr>
            <w:pStyle w:val="Sumrio1"/>
            <w:rPr>
              <w:rStyle w:val="Hyperlink"/>
              <w:color w:val="auto"/>
              <w:u w:val="none"/>
            </w:rPr>
          </w:pPr>
          <w:r w:rsidRPr="002B4F96">
            <w:rPr>
              <w:rStyle w:val="Hyperlink"/>
              <w:color w:val="auto"/>
              <w:u w:val="none"/>
            </w:rPr>
            <w:t xml:space="preserve">5. </w:t>
          </w:r>
          <w:r>
            <w:rPr>
              <w:rStyle w:val="Hyperlink"/>
              <w:color w:val="auto"/>
              <w:u w:val="none"/>
            </w:rPr>
            <w:tab/>
          </w:r>
          <w:r w:rsidRPr="002B4F96">
            <w:rPr>
              <w:rStyle w:val="Hyperlink"/>
              <w:color w:val="auto"/>
              <w:u w:val="none"/>
            </w:rPr>
            <w:t>Conclusão e trabalhos futuros.............................................................</w:t>
          </w:r>
          <w:r>
            <w:rPr>
              <w:rStyle w:val="Hyperlink"/>
              <w:color w:val="auto"/>
              <w:u w:val="none"/>
            </w:rPr>
            <w:t xml:space="preserve">.......................... </w:t>
          </w:r>
          <w:r w:rsidRPr="002B4F96">
            <w:rPr>
              <w:rStyle w:val="Hyperlink"/>
              <w:color w:val="auto"/>
              <w:u w:val="none"/>
            </w:rPr>
            <w:t>xx</w:t>
          </w:r>
        </w:p>
        <w:p w:rsidR="00BD49DF" w:rsidRDefault="00BD49DF" w:rsidP="002B4F96">
          <w:pPr>
            <w:pStyle w:val="Sumrio1"/>
            <w:rPr>
              <w:rFonts w:eastAsiaTheme="minorEastAsia" w:cstheme="minorBidi"/>
              <w:kern w:val="0"/>
              <w:sz w:val="22"/>
              <w:szCs w:val="22"/>
              <w:lang w:eastAsia="pt-BR"/>
            </w:rPr>
          </w:pPr>
          <w:hyperlink w:anchor="_Toc200029215" w:history="1">
            <w:r w:rsidRPr="001E65C8">
              <w:rPr>
                <w:rStyle w:val="Hyperlink"/>
              </w:rPr>
              <w:t>5.</w:t>
            </w:r>
            <w:r>
              <w:rPr>
                <w:rFonts w:eastAsiaTheme="minorEastAsia" w:cstheme="minorBidi"/>
                <w:kern w:val="0"/>
                <w:sz w:val="22"/>
                <w:szCs w:val="22"/>
                <w:lang w:eastAsia="pt-BR"/>
              </w:rPr>
              <w:tab/>
            </w:r>
            <w:r w:rsidRPr="001E65C8">
              <w:rPr>
                <w:rStyle w:val="Hyperlink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_Toc200029215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BD49DF" w:rsidRDefault="00BD49DF" w:rsidP="00BD49DF">
          <w:r w:rsidRPr="009917D1">
            <w:rPr>
              <w:i/>
              <w:iCs/>
              <w:caps/>
              <w:sz w:val="22"/>
              <w:szCs w:val="22"/>
            </w:rPr>
            <w:fldChar w:fldCharType="end"/>
          </w:r>
        </w:p>
      </w:sdtContent>
    </w:sdt>
    <w:p w:rsidR="00BD49DF" w:rsidRDefault="00BD49DF" w:rsidP="00BD49DF">
      <w:pPr>
        <w:pStyle w:val="Ttulo1"/>
        <w:sectPr w:rsidR="00BD49DF" w:rsidSect="00BD49DF"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:rsidR="00BD49DF" w:rsidRDefault="00BD49DF" w:rsidP="00BD49DF">
      <w:pPr>
        <w:rPr>
          <w:rFonts w:eastAsiaTheme="majorEastAsia"/>
          <w:b/>
          <w:bCs/>
          <w:sz w:val="28"/>
          <w:szCs w:val="28"/>
        </w:rPr>
      </w:pPr>
      <w:r>
        <w:lastRenderedPageBreak/>
        <w:br w:type="page"/>
      </w:r>
    </w:p>
    <w:p w:rsidR="00BD49DF" w:rsidRDefault="00BD49DF" w:rsidP="00BD49DF">
      <w:pPr>
        <w:pStyle w:val="Ttulo1"/>
        <w:numPr>
          <w:ilvl w:val="0"/>
          <w:numId w:val="1"/>
        </w:numPr>
      </w:pPr>
      <w:bookmarkStart w:id="0" w:name="_Toc200029176"/>
      <w:r w:rsidRPr="00232679">
        <w:lastRenderedPageBreak/>
        <w:t>Introdução</w:t>
      </w:r>
      <w:r>
        <w:t xml:space="preserve"> e justificativa</w:t>
      </w:r>
      <w:bookmarkEnd w:id="0"/>
    </w:p>
    <w:p w:rsidR="00BD49DF" w:rsidRPr="00AE398E" w:rsidRDefault="00BD49DF" w:rsidP="00BD49DF">
      <w:pPr>
        <w:pStyle w:val="SemEspaamento"/>
      </w:pPr>
    </w:p>
    <w:p w:rsidR="00682C34" w:rsidRPr="00682C34" w:rsidRDefault="00682C34" w:rsidP="00682C34">
      <w:pPr>
        <w:pStyle w:val="SemEspaamento"/>
        <w:ind w:firstLine="360"/>
        <w:rPr>
          <w:color w:val="000000" w:themeColor="text1"/>
        </w:rPr>
      </w:pPr>
      <w:r w:rsidRPr="00094079">
        <w:rPr>
          <w:color w:val="000000" w:themeColor="text1"/>
        </w:rPr>
        <w:t xml:space="preserve">Estudos recentes têm destacado a necessidade de </w:t>
      </w:r>
      <w:r>
        <w:rPr>
          <w:color w:val="000000" w:themeColor="text1"/>
        </w:rPr>
        <w:t>sensores e sistemas integrados</w:t>
      </w:r>
      <w:r w:rsidRPr="00094079">
        <w:rPr>
          <w:color w:val="000000" w:themeColor="text1"/>
        </w:rPr>
        <w:t xml:space="preserve"> para mensuração do consumo energético durante a operação dos veículos</w:t>
      </w:r>
      <w:r>
        <w:rPr>
          <w:color w:val="000000" w:themeColor="text1"/>
        </w:rPr>
        <w:t>. Sensores de tensão, corrente, temperatura e microcontroladores como Arduino ou ESP32 podem ser utilizados [</w:t>
      </w:r>
      <w:r>
        <w:rPr>
          <w:color w:val="000000" w:themeColor="text1"/>
        </w:rPr>
        <w:t>1</w:t>
      </w:r>
      <w:r>
        <w:rPr>
          <w:color w:val="000000" w:themeColor="text1"/>
        </w:rPr>
        <w:t>]</w:t>
      </w:r>
      <w:r w:rsidRPr="00094079">
        <w:rPr>
          <w:color w:val="000000" w:themeColor="text1"/>
        </w:rPr>
        <w:t xml:space="preserve">. </w:t>
      </w:r>
      <w:r>
        <w:rPr>
          <w:color w:val="000000" w:themeColor="text1"/>
        </w:rPr>
        <w:t>Nesse sentido, é importante a presença</w:t>
      </w:r>
      <w:r w:rsidRPr="00094079">
        <w:rPr>
          <w:color w:val="000000" w:themeColor="text1"/>
        </w:rPr>
        <w:t xml:space="preserve"> de sistemas de medição e previsão embarcados, que não apenas monitorem os dados da bateria</w:t>
      </w:r>
      <w:r>
        <w:rPr>
          <w:color w:val="000000" w:themeColor="text1"/>
        </w:rPr>
        <w:t>, por exemplo</w:t>
      </w:r>
      <w:r w:rsidRPr="00094079">
        <w:rPr>
          <w:color w:val="000000" w:themeColor="text1"/>
        </w:rPr>
        <w:t>, mas também cruzem informações de sensores do veículo e do ambiente para gerar estimativas mais robustas</w:t>
      </w:r>
      <w:r>
        <w:rPr>
          <w:color w:val="000000" w:themeColor="text1"/>
        </w:rPr>
        <w:t xml:space="preserve"> e de maior confiabilidade. Por exemplo, com uma plataforma IoT </w:t>
      </w:r>
      <w:r w:rsidRPr="00580970">
        <w:rPr>
          <w:i/>
          <w:iCs/>
          <w:color w:val="000000" w:themeColor="text1"/>
        </w:rPr>
        <w:t>(Internet of Things)</w:t>
      </w:r>
      <w:r>
        <w:rPr>
          <w:color w:val="000000" w:themeColor="text1"/>
        </w:rPr>
        <w:t xml:space="preserve"> que conecta vários sensores, torna-se mais fácil a aplicação de uma interface para a análise dos dados[</w:t>
      </w:r>
      <w:r>
        <w:rPr>
          <w:color w:val="000000" w:themeColor="text1"/>
        </w:rPr>
        <w:t>2</w:t>
      </w:r>
      <w:r>
        <w:rPr>
          <w:color w:val="000000" w:themeColor="text1"/>
        </w:rPr>
        <w:t>]</w:t>
      </w:r>
      <w:r w:rsidRPr="00094079">
        <w:rPr>
          <w:color w:val="000000" w:themeColor="text1"/>
        </w:rPr>
        <w:t>. Isso possibilita ajustes dinâmicos na estratégia de navegação e maior eficiência energética no uso cotidiano de veículos inteligentes</w:t>
      </w:r>
      <w:r>
        <w:rPr>
          <w:color w:val="000000" w:themeColor="text1"/>
        </w:rPr>
        <w:t>, ademais, “</w:t>
      </w:r>
      <w:r w:rsidRPr="00B84338">
        <w:rPr>
          <w:color w:val="000000" w:themeColor="text1"/>
        </w:rPr>
        <w:t>embasar decisões políticas relacionadas à eletrificação do transporte</w:t>
      </w:r>
      <w:r>
        <w:rPr>
          <w:color w:val="000000" w:themeColor="text1"/>
        </w:rPr>
        <w:t>” [</w:t>
      </w:r>
      <w:r>
        <w:rPr>
          <w:color w:val="000000" w:themeColor="text1"/>
        </w:rPr>
        <w:t>3</w:t>
      </w:r>
      <w:r>
        <w:rPr>
          <w:color w:val="000000" w:themeColor="text1"/>
        </w:rPr>
        <w:t>]</w:t>
      </w:r>
      <w:r w:rsidRPr="00094079">
        <w:rPr>
          <w:color w:val="000000" w:themeColor="text1"/>
        </w:rPr>
        <w:t>.</w:t>
      </w:r>
    </w:p>
    <w:p w:rsidR="002B4F96" w:rsidRPr="002B4F96" w:rsidRDefault="002B4F96" w:rsidP="002B4F96">
      <w:pPr>
        <w:spacing w:after="0" w:line="360" w:lineRule="auto"/>
        <w:ind w:firstLine="360"/>
        <w:jc w:val="both"/>
      </w:pPr>
      <w:r w:rsidRPr="002B4F96">
        <w:t>O desenvolvimento de veículos elétricos inteligentes exige um gerenciamento eficiente da energia, o que é vital para a autonomia e confiabilidade do sistema. Sem o conhecimento preciso da autonomia, o planejamento de rotas e a eficiência do veículo ficam comprometidos.</w:t>
      </w:r>
    </w:p>
    <w:p w:rsidR="002B4F96" w:rsidRDefault="002B4F96" w:rsidP="002B4F96">
      <w:pPr>
        <w:pStyle w:val="SemEspaamento"/>
      </w:pPr>
      <w:r>
        <w:rPr>
          <w:rStyle w:val="citation-13"/>
        </w:rPr>
        <w:t>No contexto da plataforma de testes autônoma VIDA, desenvolvida pelo Laboratório de Mobilidade Terrestre (LMT) da UFLA</w:t>
      </w:r>
      <w:r>
        <w:t xml:space="preserve">, este plano de trabalho buscou implementar um sistema de estimação de consumo energético. Diferentemente de modelos residenciais que operam com corrente alternada (CA), o veículo opera em corrente contínua (CC), exigindo uma abordagem específica de instrumentação. </w:t>
      </w:r>
      <w:r>
        <w:rPr>
          <w:rStyle w:val="citation-12"/>
        </w:rPr>
        <w:t>Estudos recentes destacam a eficácia de utilizar sensores de tensão e corrente acoplados a microcontroladores, como o Arduino, para essa finalidade</w:t>
      </w:r>
      <w:r>
        <w:t>. Sendo assim, o projeto focou no desenvolvimento de um hardware de medição dedicado e de baixo custo, capaz de suportar as altas correntes exigidas pelos motores de tração elétrica.</w:t>
      </w:r>
    </w:p>
    <w:p w:rsidR="00BD49DF" w:rsidRDefault="00BD49DF" w:rsidP="00BD49DF">
      <w:pPr>
        <w:rPr>
          <w:rFonts w:eastAsiaTheme="majorEastAsia"/>
          <w:b/>
          <w:bCs/>
          <w:sz w:val="28"/>
          <w:szCs w:val="28"/>
        </w:rPr>
      </w:pPr>
    </w:p>
    <w:p w:rsidR="00BD49DF" w:rsidRDefault="00BD49DF" w:rsidP="00BD49DF">
      <w:pPr>
        <w:pStyle w:val="Ttulo1"/>
        <w:numPr>
          <w:ilvl w:val="0"/>
          <w:numId w:val="1"/>
        </w:numPr>
      </w:pPr>
      <w:bookmarkStart w:id="1" w:name="_Toc200029177"/>
      <w:r w:rsidRPr="00232679">
        <w:t>Objetivos</w:t>
      </w:r>
      <w:bookmarkEnd w:id="1"/>
    </w:p>
    <w:p w:rsidR="00BD49DF" w:rsidRDefault="00BD49DF" w:rsidP="00BD49DF">
      <w:pPr>
        <w:pStyle w:val="SemEspaamento"/>
      </w:pPr>
    </w:p>
    <w:p w:rsidR="00682C34" w:rsidRPr="00682C34" w:rsidRDefault="00682C34" w:rsidP="00682C34">
      <w:pPr>
        <w:spacing w:after="0" w:line="360" w:lineRule="auto"/>
        <w:ind w:firstLine="360"/>
        <w:jc w:val="both"/>
      </w:pPr>
      <w:r w:rsidRPr="00682C34">
        <w:lastRenderedPageBreak/>
        <w:t>O objetivo principal deste período da pesquisa foi iniciar a instrumentação da plataforma VIDA com sensores para o monitoramento em tempo real da corrente e tensão da bateria.</w:t>
      </w:r>
    </w:p>
    <w:p w:rsidR="00682C34" w:rsidRPr="00D84899" w:rsidRDefault="00682C34" w:rsidP="00BD49DF">
      <w:pPr>
        <w:pStyle w:val="SemEspaamento"/>
      </w:pPr>
    </w:p>
    <w:p w:rsidR="00682C34" w:rsidRDefault="00682C34" w:rsidP="00BD49DF">
      <w:pPr>
        <w:pStyle w:val="PargrafodaLista"/>
        <w:numPr>
          <w:ilvl w:val="0"/>
          <w:numId w:val="2"/>
        </w:numPr>
        <w:spacing w:after="0" w:line="360" w:lineRule="auto"/>
        <w:jc w:val="both"/>
      </w:pPr>
      <w:r>
        <w:t>Definir a arquitetura de hardware adequada para medição de corrente contínua de alta potência;</w:t>
      </w:r>
    </w:p>
    <w:p w:rsidR="00682C34" w:rsidRDefault="00682C34" w:rsidP="00BD49DF">
      <w:pPr>
        <w:pStyle w:val="PargrafodaLista"/>
        <w:numPr>
          <w:ilvl w:val="0"/>
          <w:numId w:val="2"/>
        </w:numPr>
        <w:spacing w:after="0" w:line="360" w:lineRule="auto"/>
        <w:jc w:val="both"/>
      </w:pPr>
      <w:r>
        <w:t>Projetar e simular os circuitos de condicionamento de sinal para aquisição de dados via conversor analógico-digital (ADC) do microcontrolador;</w:t>
      </w:r>
    </w:p>
    <w:p w:rsidR="00682C34" w:rsidRDefault="00682C34" w:rsidP="00682C34">
      <w:pPr>
        <w:pStyle w:val="PargrafodaLista"/>
        <w:numPr>
          <w:ilvl w:val="0"/>
          <w:numId w:val="2"/>
        </w:numPr>
        <w:spacing w:after="0" w:line="360" w:lineRule="auto"/>
        <w:jc w:val="both"/>
      </w:pPr>
      <w:r>
        <w:t>Desenvolver e implementar um sistema de estimativa do consumo energético em tempo real, baseado em dados dos sensores embarcados e modelos matemáticos;</w:t>
      </w:r>
    </w:p>
    <w:p w:rsidR="00682C34" w:rsidRDefault="00682C34" w:rsidP="00BD49DF">
      <w:pPr>
        <w:pStyle w:val="PargrafodaLista"/>
        <w:numPr>
          <w:ilvl w:val="0"/>
          <w:numId w:val="2"/>
        </w:numPr>
        <w:spacing w:after="0" w:line="360" w:lineRule="auto"/>
        <w:jc w:val="both"/>
      </w:pPr>
      <w:r>
        <w:t>Realizar os primeiros testes de bancada e de campo para validação da instrumentação desenvolvida.</w:t>
      </w:r>
    </w:p>
    <w:p w:rsidR="00BD49DF" w:rsidRDefault="00BD49DF" w:rsidP="00BD49DF">
      <w:pPr>
        <w:pStyle w:val="Ttulo1"/>
        <w:numPr>
          <w:ilvl w:val="0"/>
          <w:numId w:val="1"/>
        </w:numPr>
      </w:pPr>
      <w:bookmarkStart w:id="2" w:name="_Toc200029178"/>
      <w:r w:rsidRPr="00232679">
        <w:t>Metodologia</w:t>
      </w:r>
      <w:bookmarkEnd w:id="2"/>
    </w:p>
    <w:p w:rsidR="00032473" w:rsidRPr="00032473" w:rsidRDefault="00682C34" w:rsidP="00032473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682C34">
        <w:rPr>
          <w:rFonts w:ascii="Arial" w:eastAsiaTheme="minorHAnsi" w:hAnsi="Arial" w:cs="Arial"/>
          <w:kern w:val="2"/>
          <w:lang w:eastAsia="en-US"/>
        </w:rPr>
        <w:t>A metodologia baseou-se no desenvolvimento de hardware para aquisição de dados, dividida nas seguintes etapas:</w:t>
      </w:r>
    </w:p>
    <w:p w:rsidR="00BD49DF" w:rsidRDefault="00BD49DF" w:rsidP="002052DE">
      <w:pPr>
        <w:pStyle w:val="Ttulo2"/>
      </w:pPr>
      <w:bookmarkStart w:id="3" w:name="_Toc182214672"/>
      <w:r w:rsidRPr="002052DE">
        <w:t xml:space="preserve"> </w:t>
      </w:r>
      <w:bookmarkStart w:id="4" w:name="_Toc200029179"/>
      <w:bookmarkStart w:id="5" w:name="_Toc200029180"/>
      <w:bookmarkStart w:id="6" w:name="_Toc200029181"/>
      <w:bookmarkStart w:id="7" w:name="_Toc200029182"/>
      <w:bookmarkStart w:id="8" w:name="_Toc200029183"/>
      <w:bookmarkStart w:id="9" w:name="_Toc200029184"/>
      <w:bookmarkStart w:id="10" w:name="_Toc200029185"/>
      <w:bookmarkStart w:id="11" w:name="_Toc200029186"/>
      <w:bookmarkStart w:id="12" w:name="_Toc200029187"/>
      <w:bookmarkStart w:id="13" w:name="_Toc200029188"/>
      <w:bookmarkStart w:id="14" w:name="_Toc200029189"/>
      <w:bookmarkStart w:id="15" w:name="_Toc200029190"/>
      <w:bookmarkStart w:id="16" w:name="_Toc200029191"/>
      <w:bookmarkStart w:id="17" w:name="_Toc200029192"/>
      <w:bookmarkStart w:id="18" w:name="_Toc200029193"/>
      <w:bookmarkStart w:id="19" w:name="_Toc200029194"/>
      <w:bookmarkStart w:id="20" w:name="_Toc200029195"/>
      <w:bookmarkStart w:id="21" w:name="_Toc200029196"/>
      <w:bookmarkStart w:id="22" w:name="_Toc200029197"/>
      <w:bookmarkStart w:id="23" w:name="_Toc200029198"/>
      <w:bookmarkStart w:id="24" w:name="_Toc200029199"/>
      <w:bookmarkStart w:id="25" w:name="_Toc200029200"/>
      <w:bookmarkStart w:id="26" w:name="_Toc200029201"/>
      <w:bookmarkStart w:id="27" w:name="_Toc200029202"/>
      <w:bookmarkStart w:id="28" w:name="_Toc200029203"/>
      <w:bookmarkStart w:id="29" w:name="_Toc200029204"/>
      <w:bookmarkStart w:id="30" w:name="_Toc200029205"/>
      <w:bookmarkStart w:id="31" w:name="_Toc200029206"/>
      <w:bookmarkStart w:id="32" w:name="_Toc200029207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r w:rsidR="002052DE" w:rsidRPr="002052DE">
        <w:t>Seleção do Sensor de Corrente</w:t>
      </w:r>
    </w:p>
    <w:p w:rsidR="002052DE" w:rsidRDefault="002052DE" w:rsidP="002052DE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682C34">
        <w:rPr>
          <w:rFonts w:ascii="Arial" w:eastAsiaTheme="minorHAnsi" w:hAnsi="Arial" w:cs="Arial"/>
          <w:kern w:val="2"/>
          <w:lang w:eastAsia="en-US"/>
        </w:rPr>
        <w:t>Avaliou-se o uso de sensores de Efeito Hall e resistores shunt. Com base nas especificações do motor de tração (1000W e 36V), calculou-se que a corrente de pico no instante da partida poderia chegar a 300A.</w:t>
      </w:r>
    </w:p>
    <w:p w:rsidR="002052DE" w:rsidRDefault="002052DE" w:rsidP="002052DE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>
        <w:rPr>
          <w:rFonts w:ascii="Arial" w:eastAsiaTheme="minorHAnsi" w:hAnsi="Arial" w:cs="Arial"/>
          <w:kern w:val="2"/>
          <w:lang w:eastAsia="en-US"/>
        </w:rPr>
        <w:t>[CÁLCULOS]</w:t>
      </w:r>
    </w:p>
    <w:p w:rsidR="002052DE" w:rsidRPr="002052DE" w:rsidRDefault="002052DE" w:rsidP="002052DE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2052DE">
        <w:rPr>
          <w:rFonts w:ascii="Arial" w:eastAsiaTheme="minorHAnsi" w:hAnsi="Arial" w:cs="Arial"/>
          <w:kern w:val="2"/>
          <w:lang w:eastAsia="en-US"/>
        </w:rPr>
        <w:t xml:space="preserve"> Devido ao custo elevado de sensores de Efeito Hall para essa magnitude de corrente, optou-se pela utilização de um resistor shunt (300A/75mV) configurado em low-side</w:t>
      </w:r>
      <w:r>
        <w:rPr>
          <w:rFonts w:ascii="Arial" w:eastAsiaTheme="minorHAnsi" w:hAnsi="Arial" w:cs="Arial"/>
          <w:kern w:val="2"/>
          <w:lang w:eastAsia="en-US"/>
        </w:rPr>
        <w:t xml:space="preserve"> [EXPLICAR O PORQUE PARA O CASO]</w:t>
      </w:r>
      <w:r w:rsidRPr="002052DE">
        <w:rPr>
          <w:rFonts w:ascii="Arial" w:eastAsiaTheme="minorHAnsi" w:hAnsi="Arial" w:cs="Arial"/>
          <w:kern w:val="2"/>
          <w:lang w:eastAsia="en-US"/>
        </w:rPr>
        <w:t>.</w:t>
      </w:r>
    </w:p>
    <w:p w:rsidR="00BD49DF" w:rsidRDefault="00BD49DF" w:rsidP="00BD49DF">
      <w:pPr>
        <w:pStyle w:val="SemEspaamento"/>
        <w:ind w:firstLine="0"/>
      </w:pPr>
    </w:p>
    <w:p w:rsidR="002052DE" w:rsidRPr="002052DE" w:rsidRDefault="002052DE" w:rsidP="002052DE">
      <w:pPr>
        <w:pStyle w:val="Ttulo2"/>
      </w:pPr>
      <w:bookmarkStart w:id="33" w:name="_Toc200029209"/>
      <w:r>
        <w:t xml:space="preserve"> </w:t>
      </w:r>
      <w:r w:rsidRPr="002052DE">
        <w:t>Condicionamento do Sinal de Corrente</w:t>
      </w:r>
      <w:bookmarkEnd w:id="33"/>
    </w:p>
    <w:p w:rsidR="002052DE" w:rsidRDefault="002052DE" w:rsidP="002052DE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682C34">
        <w:rPr>
          <w:rFonts w:ascii="Arial" w:eastAsiaTheme="minorHAnsi" w:hAnsi="Arial" w:cs="Arial"/>
          <w:kern w:val="2"/>
          <w:lang w:eastAsia="en-US"/>
        </w:rPr>
        <w:lastRenderedPageBreak/>
        <w:t>Para adequar a pequena diferença de potencial (75mV) gerada pelo shunt para a leitura do microcontrolador, utilizou-se a Lei de Ohm aliada a amplificadores operacionais. O componente escolhido foi o OPA350, um amplificador rail-to-rail de alimentação assimétrica. O componente foi configurado como um amplificador subtrator.</w:t>
      </w:r>
    </w:p>
    <w:p w:rsidR="002052DE" w:rsidRPr="002052DE" w:rsidRDefault="002052DE" w:rsidP="002052DE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>
        <w:rPr>
          <w:rFonts w:ascii="Arial" w:eastAsiaTheme="minorHAnsi" w:hAnsi="Arial" w:cs="Arial"/>
          <w:kern w:val="2"/>
          <w:lang w:eastAsia="en-US"/>
        </w:rPr>
        <w:t>[IMAGEM DO CIRCUITO DE CORRENTE FEITO NO LTSPICE]</w:t>
      </w:r>
    </w:p>
    <w:p w:rsidR="00BD49DF" w:rsidRDefault="00BD49DF" w:rsidP="00BD49DF">
      <w:pPr>
        <w:pStyle w:val="SemEspaamento"/>
        <w:ind w:firstLine="360"/>
      </w:pPr>
    </w:p>
    <w:p w:rsidR="00BD49DF" w:rsidRDefault="00BD49DF" w:rsidP="002052DE">
      <w:pPr>
        <w:pStyle w:val="Ttulo2"/>
      </w:pPr>
      <w:r>
        <w:t xml:space="preserve"> </w:t>
      </w:r>
      <w:r w:rsidR="002052DE" w:rsidRPr="002052DE">
        <w:t>Medição do Nível da Bateria</w:t>
      </w:r>
    </w:p>
    <w:p w:rsidR="00032473" w:rsidRPr="00032473" w:rsidRDefault="00032473" w:rsidP="00032473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hAnsi="Arial" w:cs="Arial"/>
        </w:rPr>
        <w:t xml:space="preserve">O veículo possui um banco de baterias composto por três unidades de </w:t>
      </w:r>
      <w:r w:rsidRPr="00032473">
        <w:rPr>
          <w:rFonts w:ascii="Arial" w:hAnsi="Arial" w:cs="Arial"/>
          <w:bCs/>
        </w:rPr>
        <w:t>12V</w:t>
      </w:r>
      <w:r w:rsidRPr="00032473">
        <w:rPr>
          <w:rFonts w:ascii="Arial" w:hAnsi="Arial" w:cs="Arial"/>
        </w:rPr>
        <w:t xml:space="preserve"> em série, totalizando </w:t>
      </w:r>
      <w:r w:rsidRPr="00032473">
        <w:rPr>
          <w:rFonts w:ascii="Arial" w:hAnsi="Arial" w:cs="Arial"/>
          <w:bCs/>
        </w:rPr>
        <w:t>36V</w:t>
      </w:r>
      <w:r w:rsidRPr="00032473">
        <w:rPr>
          <w:rFonts w:ascii="Arial" w:hAnsi="Arial" w:cs="Arial"/>
        </w:rPr>
        <w:t xml:space="preserve"> de tensão nominal máxima. Para adequar essa magnitude de tensão ao limite máximo de entrada permitido pelo conversor analógico-digital (ADC) do microcontrolador Arduino, projetou-se um circuito utilizando um divisor resistivo. Este circuito atenua a tensão máxima de </w:t>
      </w:r>
      <w:r w:rsidRPr="00032473">
        <w:rPr>
          <w:rFonts w:ascii="Arial" w:hAnsi="Arial" w:cs="Arial"/>
          <w:bCs/>
        </w:rPr>
        <w:t>36V</w:t>
      </w:r>
      <w:r w:rsidRPr="00032473">
        <w:rPr>
          <w:rFonts w:ascii="Arial" w:hAnsi="Arial" w:cs="Arial"/>
        </w:rPr>
        <w:t xml:space="preserve"> para o limite seguro de operação de </w:t>
      </w:r>
      <w:r w:rsidRPr="00032473">
        <w:rPr>
          <w:rFonts w:ascii="Arial" w:hAnsi="Arial" w:cs="Arial"/>
          <w:bCs/>
        </w:rPr>
        <w:t>5V</w:t>
      </w:r>
      <w:r w:rsidRPr="00032473">
        <w:rPr>
          <w:rFonts w:ascii="Arial" w:hAnsi="Arial" w:cs="Arial"/>
        </w:rPr>
        <w:t>. O sinal condicionado é então processado por um amplificador operacional OPA350 (configurado como subtrator) para o devido referenciamento. Adicionalmente, foram implementados capacitores de filtro e diodos Zener para garantir a proteção do circuito contra possíveis surtos de tensão.</w:t>
      </w:r>
      <w:r w:rsidRPr="00032473">
        <w:rPr>
          <w:rFonts w:ascii="Arial" w:eastAsiaTheme="minorHAnsi" w:hAnsi="Arial" w:cs="Arial"/>
          <w:kern w:val="2"/>
          <w:lang w:eastAsia="en-US"/>
        </w:rPr>
        <w:t xml:space="preserve"> </w:t>
      </w:r>
    </w:p>
    <w:p w:rsidR="002052DE" w:rsidRPr="002052DE" w:rsidRDefault="002052DE" w:rsidP="002052DE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>
        <w:rPr>
          <w:rFonts w:ascii="Arial" w:eastAsiaTheme="minorHAnsi" w:hAnsi="Arial" w:cs="Arial"/>
          <w:kern w:val="2"/>
          <w:lang w:eastAsia="en-US"/>
        </w:rPr>
        <w:t>[IMAGEM DO CIRCUITO DE TENSÃO FEITO NO LTSPICE]</w:t>
      </w:r>
    </w:p>
    <w:p w:rsidR="00BD49DF" w:rsidRDefault="00BD49DF" w:rsidP="00BD49DF">
      <w:pPr>
        <w:pStyle w:val="SemEspaamento"/>
        <w:ind w:firstLine="360"/>
      </w:pPr>
    </w:p>
    <w:p w:rsidR="00BD49DF" w:rsidRDefault="00BD49DF" w:rsidP="00BD49DF">
      <w:pPr>
        <w:pStyle w:val="Ttulo2"/>
      </w:pPr>
      <w:r>
        <w:t xml:space="preserve"> </w:t>
      </w:r>
      <w:bookmarkStart w:id="34" w:name="_Toc200029211"/>
      <w:r w:rsidR="002052DE" w:rsidRPr="002052DE">
        <w:t>Simulação e Código</w:t>
      </w:r>
      <w:bookmarkEnd w:id="34"/>
    </w:p>
    <w:p w:rsidR="00032473" w:rsidRDefault="00032473" w:rsidP="00032473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682C34">
        <w:rPr>
          <w:rFonts w:ascii="Arial" w:eastAsiaTheme="minorHAnsi" w:hAnsi="Arial" w:cs="Arial"/>
          <w:kern w:val="2"/>
          <w:lang w:eastAsia="en-US"/>
        </w:rPr>
        <w:t>Os circuitos foram previamente validados através de simulações no software LTSpice. Paralelamente, desenvolveu-se o código em C++ para o microcontrolador Arduino realizar a leitura do ADC.</w:t>
      </w:r>
    </w:p>
    <w:p w:rsidR="00032473" w:rsidRPr="002052DE" w:rsidRDefault="00032473" w:rsidP="00032473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>
        <w:rPr>
          <w:rFonts w:ascii="Arial" w:eastAsiaTheme="minorHAnsi" w:hAnsi="Arial" w:cs="Arial"/>
          <w:kern w:val="2"/>
          <w:lang w:eastAsia="en-US"/>
        </w:rPr>
        <w:t>[DIAGRAMA DE BLOCOS/ FLUXOGRAMA DO CÓDIGO PARA ARDUINO]</w:t>
      </w:r>
    </w:p>
    <w:p w:rsidR="00BD49DF" w:rsidRDefault="00BD49DF" w:rsidP="00BD49DF">
      <w:pPr>
        <w:pStyle w:val="SemEspaamento"/>
        <w:ind w:firstLine="360"/>
      </w:pPr>
    </w:p>
    <w:p w:rsidR="00BD49DF" w:rsidRDefault="00BD49DF" w:rsidP="00BD49DF">
      <w:pPr>
        <w:rPr>
          <w:rFonts w:eastAsiaTheme="majorEastAsia"/>
          <w:b/>
          <w:bCs/>
          <w:sz w:val="28"/>
          <w:szCs w:val="28"/>
        </w:rPr>
      </w:pPr>
      <w:r>
        <w:br w:type="page"/>
      </w:r>
    </w:p>
    <w:p w:rsidR="00BD49DF" w:rsidRPr="00AE398E" w:rsidRDefault="00032473" w:rsidP="00032473">
      <w:pPr>
        <w:pStyle w:val="Ttulo1"/>
        <w:numPr>
          <w:ilvl w:val="0"/>
          <w:numId w:val="1"/>
        </w:numPr>
      </w:pPr>
      <w:r>
        <w:lastRenderedPageBreak/>
        <w:t>Resultados e Discussões</w:t>
      </w:r>
    </w:p>
    <w:p w:rsidR="00032473" w:rsidRPr="00032473" w:rsidRDefault="00032473" w:rsidP="00032473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eastAsiaTheme="minorHAnsi" w:hAnsi="Arial" w:cs="Arial"/>
          <w:kern w:val="2"/>
          <w:lang w:eastAsia="en-US"/>
        </w:rPr>
        <w:t>As simulações realizadas no LTSpice apresentaram resultados consistentes, demonstrando que os valores de tensão de saída dos circuitos projetados estavam condizentes com a teoria matemática e dentro da faixa de operação segura (0 a 5V) para a leitura do ADC do Arduino.</w:t>
      </w:r>
    </w:p>
    <w:p w:rsidR="00032473" w:rsidRDefault="00032473" w:rsidP="00032473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eastAsiaTheme="minorHAnsi" w:hAnsi="Arial" w:cs="Arial"/>
          <w:kern w:val="2"/>
          <w:lang w:eastAsia="en-US"/>
        </w:rPr>
        <w:t>Contudo, durante a fase de prototipagem e testes práticos, o sistema apresentou comportamento não ideal:</w:t>
      </w:r>
    </w:p>
    <w:p w:rsidR="00032473" w:rsidRPr="00032473" w:rsidRDefault="00032473" w:rsidP="00032473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eastAsiaTheme="minorHAnsi" w:hAnsi="Arial" w:cs="Arial"/>
          <w:kern w:val="2"/>
          <w:lang w:eastAsia="en-US"/>
        </w:rPr>
        <w:t>Nos testes iniciais no veículo (realizados com o motor de esterçamento, que possui menor demanda de corrente), as leituras do ADC ultrapassaram o limite de 1023 e mostraram-se altamente instáveis.</w:t>
      </w:r>
    </w:p>
    <w:p w:rsidR="00032473" w:rsidRPr="00032473" w:rsidRDefault="00032473" w:rsidP="00032473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eastAsiaTheme="minorHAnsi" w:hAnsi="Arial" w:cs="Arial"/>
          <w:kern w:val="2"/>
          <w:lang w:eastAsia="en-US"/>
        </w:rPr>
        <w:t>Ao isolar o problema utilizando um osciloscópio e uma fonte de bancada, constatou-se que a saída do amplificador operacional estava saturada em sua tensão de alimentação (5V), independentemente da tensão diferencial aplicada na entrada.</w:t>
      </w:r>
    </w:p>
    <w:p w:rsidR="00032473" w:rsidRPr="00032473" w:rsidRDefault="00032473" w:rsidP="00032473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eastAsiaTheme="minorHAnsi" w:hAnsi="Arial" w:cs="Arial"/>
          <w:kern w:val="2"/>
          <w:lang w:eastAsia="en-US"/>
        </w:rPr>
        <w:t>A suspeita inicial foi a queima dos componentes (OPA350). No entanto, testes posteriores isolando os chips e configurando-os como buffer confirmaram que os CIs estavam intactos e funcionais.</w:t>
      </w:r>
    </w:p>
    <w:p w:rsidR="00032473" w:rsidRDefault="00032473" w:rsidP="00032473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eastAsiaTheme="minorHAnsi" w:hAnsi="Arial" w:cs="Arial"/>
          <w:kern w:val="2"/>
          <w:lang w:eastAsia="en-US"/>
        </w:rPr>
        <w:t>A principal discussão gerada a partir destes resultados é a forte interferência de ruídos elétricos gerados pelos motores e a falta de isolação galvânica adequada no circuito projetado, o que leva à saturação dos amplificadores operacionais quando instalados no ambiente ruidoso do veículo.</w:t>
      </w:r>
    </w:p>
    <w:p w:rsidR="00032473" w:rsidRDefault="00032473" w:rsidP="00032473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</w:p>
    <w:p w:rsidR="00032473" w:rsidRPr="00AE398E" w:rsidRDefault="00032473" w:rsidP="00032473">
      <w:pPr>
        <w:pStyle w:val="Ttulo1"/>
        <w:numPr>
          <w:ilvl w:val="0"/>
          <w:numId w:val="1"/>
        </w:numPr>
      </w:pPr>
      <w:r>
        <w:t>Conclusão e Trabalhos Futuros</w:t>
      </w:r>
    </w:p>
    <w:p w:rsidR="00032473" w:rsidRPr="00032473" w:rsidRDefault="00032473" w:rsidP="00032473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eastAsiaTheme="minorHAnsi" w:hAnsi="Arial" w:cs="Arial"/>
          <w:kern w:val="2"/>
          <w:lang w:eastAsia="en-US"/>
        </w:rPr>
        <w:t>O período do projeto PIVIC foi fundamental para estruturar a base do hardware de medição energética da plataforma VIDA, permitindo validar conceitos em simulação e identificar desafios críticos na instrumentação de veículos elétricos de tração, como a interferência eletromagnética e a necessidade de isolamento de terra.</w:t>
      </w:r>
    </w:p>
    <w:p w:rsidR="00032473" w:rsidRPr="00032473" w:rsidRDefault="00032473" w:rsidP="00032473">
      <w:pPr>
        <w:pStyle w:val="NormalWeb"/>
        <w:spacing w:line="360" w:lineRule="auto"/>
        <w:ind w:firstLine="360"/>
        <w:jc w:val="both"/>
        <w:rPr>
          <w:rFonts w:ascii="Arial" w:eastAsiaTheme="minorHAnsi" w:hAnsi="Arial" w:cs="Arial"/>
          <w:kern w:val="2"/>
          <w:lang w:eastAsia="en-US"/>
        </w:rPr>
      </w:pPr>
      <w:r w:rsidRPr="00032473">
        <w:rPr>
          <w:rFonts w:ascii="Arial" w:eastAsiaTheme="minorHAnsi" w:hAnsi="Arial" w:cs="Arial"/>
          <w:kern w:val="2"/>
          <w:lang w:eastAsia="en-US"/>
        </w:rPr>
        <w:lastRenderedPageBreak/>
        <w:t>Como o projeto obteve aprovação para continuidade via edital PIBIC/FAPEMIG, os trabalhos futuros (iniciados após 28/02/2026) focarão na reestruturação completa do circuito de condicionamento. A nova abordagem manterá o uso do shunt (300A/75mV) e dos amplificadores OPA350, mas integrará optoacopladores analógicos (como o HCNR200) para garantir a isolação galvânica entre a etapa de potência e a etapa de controle, garantindo a segurança e a estabilidade necessárias para a estimação do consumo energético.</w:t>
      </w:r>
    </w:p>
    <w:p w:rsidR="00032473" w:rsidRPr="00032473" w:rsidRDefault="00032473" w:rsidP="00032473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</w:p>
    <w:p w:rsidR="00032473" w:rsidRPr="00032473" w:rsidRDefault="00032473" w:rsidP="00032473">
      <w:pPr>
        <w:pStyle w:val="NormalWeb"/>
        <w:spacing w:line="360" w:lineRule="auto"/>
        <w:jc w:val="both"/>
        <w:rPr>
          <w:rFonts w:ascii="Arial" w:eastAsiaTheme="minorHAnsi" w:hAnsi="Arial" w:cs="Arial"/>
          <w:kern w:val="2"/>
          <w:lang w:eastAsia="en-US"/>
        </w:rPr>
      </w:pPr>
    </w:p>
    <w:p w:rsidR="00BD49DF" w:rsidRDefault="00BD49DF" w:rsidP="00BD49DF">
      <w:pPr>
        <w:pStyle w:val="SemEspaamento"/>
        <w:ind w:firstLine="0"/>
        <w:rPr>
          <w:rFonts w:eastAsiaTheme="majorEastAsia"/>
          <w:sz w:val="28"/>
          <w:szCs w:val="28"/>
        </w:rPr>
      </w:pPr>
    </w:p>
    <w:p w:rsidR="00BD49DF" w:rsidRDefault="00BD49DF" w:rsidP="00BD49DF">
      <w:pPr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br w:type="page"/>
      </w:r>
    </w:p>
    <w:p w:rsidR="00BD49DF" w:rsidRDefault="00BD49DF" w:rsidP="00BD49DF">
      <w:pPr>
        <w:pStyle w:val="Ttulo1"/>
        <w:numPr>
          <w:ilvl w:val="0"/>
          <w:numId w:val="1"/>
        </w:numPr>
      </w:pPr>
      <w:bookmarkStart w:id="35" w:name="_Toc200029215"/>
      <w:r w:rsidRPr="00232679">
        <w:lastRenderedPageBreak/>
        <w:t>Referências</w:t>
      </w:r>
      <w:bookmarkEnd w:id="35"/>
    </w:p>
    <w:p w:rsidR="00BD49DF" w:rsidRDefault="00BD49DF" w:rsidP="00BD49DF">
      <w:pPr>
        <w:pStyle w:val="SemEspaamento"/>
        <w:ind w:firstLine="0"/>
      </w:pPr>
    </w:p>
    <w:p w:rsidR="00BD49DF" w:rsidRDefault="00032473" w:rsidP="00BD49DF">
      <w:pPr>
        <w:pStyle w:val="SemEspaamento"/>
        <w:ind w:firstLine="0"/>
      </w:pPr>
      <w:r>
        <w:t xml:space="preserve"> </w:t>
      </w:r>
      <w:r w:rsidR="00682C34">
        <w:t>[1</w:t>
      </w:r>
      <w:r w:rsidR="00BD49DF" w:rsidRPr="00694289">
        <w:t xml:space="preserve">] Garg, P.; Bansal, D.; Khan, S.; Bhattacharya, S. (2022). </w:t>
      </w:r>
      <w:r w:rsidR="00BD49DF" w:rsidRPr="00F206A2">
        <w:rPr>
          <w:i/>
          <w:iCs/>
          <w:lang w:val="en-US"/>
        </w:rPr>
        <w:t>“Development of Energy Measurement System for Electrical Vehicle Battery Using Arduino”</w:t>
      </w:r>
      <w:r w:rsidR="00BD49DF" w:rsidRPr="00F206A2">
        <w:rPr>
          <w:lang w:val="en-US"/>
        </w:rPr>
        <w:t xml:space="preserve">. </w:t>
      </w:r>
      <w:r w:rsidR="00BD49DF">
        <w:t xml:space="preserve">Disponível em: </w:t>
      </w:r>
      <w:hyperlink r:id="rId8" w:tgtFrame="_new" w:history="1">
        <w:r w:rsidR="00BD49DF" w:rsidRPr="002A0184">
          <w:rPr>
            <w:rStyle w:val="Hyperlink"/>
          </w:rPr>
          <w:t>https://link.springer.com/chapter/10.1007/978-981-19-0588-9_45</w:t>
        </w:r>
      </w:hyperlink>
    </w:p>
    <w:p w:rsidR="00BD49DF" w:rsidRDefault="00BD49DF" w:rsidP="00BD49DF">
      <w:pPr>
        <w:pStyle w:val="SemEspaamento"/>
        <w:ind w:firstLine="0"/>
      </w:pPr>
    </w:p>
    <w:p w:rsidR="00BD49DF" w:rsidRDefault="00BD49DF" w:rsidP="00BD49DF">
      <w:pPr>
        <w:pStyle w:val="SemEspaamento"/>
        <w:ind w:firstLine="0"/>
      </w:pPr>
      <w:r w:rsidRPr="002A0184">
        <w:t>[</w:t>
      </w:r>
      <w:r w:rsidR="00682C34">
        <w:t>2</w:t>
      </w:r>
      <w:r w:rsidRPr="002A0184">
        <w:t xml:space="preserve">] </w:t>
      </w:r>
      <w:r w:rsidRPr="002E5179">
        <w:t>Echavarría</w:t>
      </w:r>
      <w:r>
        <w:t>, S.;</w:t>
      </w:r>
      <w:r w:rsidRPr="002E5179">
        <w:t xml:space="preserve"> Mejía-Gutiérrez</w:t>
      </w:r>
      <w:r>
        <w:t xml:space="preserve">, R. e </w:t>
      </w:r>
      <w:r w:rsidRPr="002E5179">
        <w:t>Montoya</w:t>
      </w:r>
      <w:r>
        <w:t xml:space="preserve">, A. (2020). </w:t>
      </w:r>
      <w:r w:rsidRPr="00F206A2">
        <w:rPr>
          <w:i/>
          <w:iCs/>
          <w:lang w:val="en-US"/>
        </w:rPr>
        <w:t>“Development of an IoT Platform for Monitoring Electric Vehicle Behaviour”</w:t>
      </w:r>
      <w:r w:rsidRPr="00F206A2">
        <w:rPr>
          <w:lang w:val="en-US"/>
        </w:rPr>
        <w:t xml:space="preserve">. </w:t>
      </w:r>
      <w:r>
        <w:t xml:space="preserve">Disponível em: </w:t>
      </w:r>
      <w:hyperlink r:id="rId9" w:history="1">
        <w:r w:rsidRPr="00A20BF0">
          <w:rPr>
            <w:rStyle w:val="Hyperlink"/>
          </w:rPr>
          <w:t>https://link.springer.com/chapter/10.1007/978-3-030-61834-6_31</w:t>
        </w:r>
      </w:hyperlink>
    </w:p>
    <w:p w:rsidR="00BD49DF" w:rsidRDefault="00BD49DF" w:rsidP="00BD49DF">
      <w:pPr>
        <w:pStyle w:val="SemEspaamento"/>
        <w:ind w:firstLine="0"/>
      </w:pPr>
    </w:p>
    <w:p w:rsidR="00BD49DF" w:rsidRPr="002A0184" w:rsidRDefault="00BD49DF" w:rsidP="00BD49DF">
      <w:pPr>
        <w:pStyle w:val="SemEspaamento"/>
        <w:ind w:firstLine="0"/>
      </w:pPr>
      <w:r w:rsidRPr="00F206A2">
        <w:rPr>
          <w:lang w:val="en-US"/>
        </w:rPr>
        <w:t>[</w:t>
      </w:r>
      <w:r w:rsidR="00682C34">
        <w:rPr>
          <w:lang w:val="en-US"/>
        </w:rPr>
        <w:t>3</w:t>
      </w:r>
      <w:r w:rsidRPr="00F206A2">
        <w:rPr>
          <w:lang w:val="en-US"/>
        </w:rPr>
        <w:t xml:space="preserve">] Achariyaviriya, W.; Wongsapai, W.; Janpoom, K.; Katongtung, T.; Mona, Y.; Tippayawong, N. e Suttakul, P. (2023). </w:t>
      </w:r>
      <w:r w:rsidRPr="00F206A2">
        <w:rPr>
          <w:i/>
          <w:iCs/>
          <w:lang w:val="en-US"/>
        </w:rPr>
        <w:t>“Estimating Energy Consumption of Battery Electric Vehicles Using Vehicle Sensor Data and Machine Learning Approaches”</w:t>
      </w:r>
      <w:r w:rsidRPr="00F206A2">
        <w:rPr>
          <w:lang w:val="en-US"/>
        </w:rPr>
        <w:t xml:space="preserve">. </w:t>
      </w:r>
      <w:r>
        <w:t xml:space="preserve">Disponível em: </w:t>
      </w:r>
      <w:r w:rsidRPr="002E5179">
        <w:t>https://www.mdpi.com/1996-1073/16/17/6351</w:t>
      </w:r>
    </w:p>
    <w:p w:rsidR="00BD49DF" w:rsidRPr="00462FC2" w:rsidRDefault="00BD49DF" w:rsidP="00BD49DF">
      <w:pPr>
        <w:pStyle w:val="SemEspaamento"/>
        <w:ind w:firstLine="0"/>
      </w:pPr>
    </w:p>
    <w:p w:rsidR="00BD49DF" w:rsidRPr="00BD49DF" w:rsidRDefault="00BD49DF" w:rsidP="00BD49DF"/>
    <w:sectPr w:rsidR="00BD49DF" w:rsidRPr="00BD49DF" w:rsidSect="00F10ADC">
      <w:footerReference w:type="default" r:id="rId10"/>
      <w:type w:val="continuous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557E" w:rsidRDefault="0095557E" w:rsidP="00BD49DF">
      <w:pPr>
        <w:spacing w:after="0" w:line="240" w:lineRule="auto"/>
      </w:pPr>
      <w:r>
        <w:separator/>
      </w:r>
    </w:p>
  </w:endnote>
  <w:endnote w:type="continuationSeparator" w:id="0">
    <w:p w:rsidR="0095557E" w:rsidRDefault="0095557E" w:rsidP="00BD49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01744015"/>
      <w:docPartObj>
        <w:docPartGallery w:val="Page Numbers (Bottom of Page)"/>
        <w:docPartUnique/>
      </w:docPartObj>
    </w:sdtPr>
    <w:sdtEndPr/>
    <w:sdtContent>
      <w:p w:rsidR="007B20C1" w:rsidRDefault="0095557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2473">
          <w:rPr>
            <w:noProof/>
          </w:rPr>
          <w:t>3</w:t>
        </w:r>
        <w:r>
          <w:fldChar w:fldCharType="end"/>
        </w:r>
      </w:p>
    </w:sdtContent>
  </w:sdt>
  <w:p w:rsidR="007B20C1" w:rsidRDefault="0095557E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557E" w:rsidRDefault="0095557E" w:rsidP="00BD49DF">
      <w:pPr>
        <w:spacing w:after="0" w:line="240" w:lineRule="auto"/>
      </w:pPr>
      <w:r>
        <w:separator/>
      </w:r>
    </w:p>
  </w:footnote>
  <w:footnote w:type="continuationSeparator" w:id="0">
    <w:p w:rsidR="0095557E" w:rsidRDefault="0095557E" w:rsidP="00BD49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A32A03"/>
    <w:multiLevelType w:val="hybridMultilevel"/>
    <w:tmpl w:val="EBDAC5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167606"/>
    <w:multiLevelType w:val="multilevel"/>
    <w:tmpl w:val="D05E49E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585E4D7F"/>
    <w:multiLevelType w:val="hybridMultilevel"/>
    <w:tmpl w:val="AC18B3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D142245"/>
    <w:multiLevelType w:val="multilevel"/>
    <w:tmpl w:val="F900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F6C1632"/>
    <w:multiLevelType w:val="multilevel"/>
    <w:tmpl w:val="5F46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D49DF"/>
    <w:rsid w:val="00032473"/>
    <w:rsid w:val="002052DE"/>
    <w:rsid w:val="002B4F96"/>
    <w:rsid w:val="00682C34"/>
    <w:rsid w:val="0095557E"/>
    <w:rsid w:val="00BD49D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49DF"/>
    <w:pPr>
      <w:spacing w:after="160" w:line="278" w:lineRule="auto"/>
    </w:pPr>
    <w:rPr>
      <w:rFonts w:ascii="Arial" w:hAnsi="Arial" w:cs="Arial"/>
      <w:kern w:val="2"/>
      <w:sz w:val="24"/>
      <w:szCs w:val="24"/>
    </w:rPr>
  </w:style>
  <w:style w:type="paragraph" w:styleId="Ttulo1">
    <w:name w:val="heading 1"/>
    <w:basedOn w:val="Normal"/>
    <w:next w:val="SemEspaamento"/>
    <w:link w:val="Ttulo1Char"/>
    <w:uiPriority w:val="9"/>
    <w:qFormat/>
    <w:rsid w:val="00BD49D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Ttulo2">
    <w:name w:val="heading 2"/>
    <w:basedOn w:val="SemEspaamento"/>
    <w:next w:val="Normal"/>
    <w:link w:val="Ttulo2Char"/>
    <w:uiPriority w:val="9"/>
    <w:unhideWhenUsed/>
    <w:qFormat/>
    <w:rsid w:val="00BD49DF"/>
    <w:pPr>
      <w:numPr>
        <w:ilvl w:val="1"/>
        <w:numId w:val="1"/>
      </w:numPr>
      <w:outlineLvl w:val="1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BD49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D49DF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BD49DF"/>
    <w:rPr>
      <w:rFonts w:ascii="Arial" w:eastAsiaTheme="majorEastAsia" w:hAnsi="Arial" w:cs="Arial"/>
      <w:b/>
      <w:bCs/>
      <w:kern w:val="2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D49DF"/>
    <w:rPr>
      <w:rFonts w:ascii="Arial" w:hAnsi="Arial" w:cs="Arial"/>
      <w:b/>
      <w:bCs/>
      <w:kern w:val="2"/>
      <w:sz w:val="24"/>
      <w:szCs w:val="24"/>
    </w:rPr>
  </w:style>
  <w:style w:type="paragraph" w:styleId="SemEspaamento">
    <w:name w:val="No Spacing"/>
    <w:aliases w:val="Texto"/>
    <w:uiPriority w:val="1"/>
    <w:qFormat/>
    <w:rsid w:val="00BD49DF"/>
    <w:pPr>
      <w:spacing w:after="0" w:line="360" w:lineRule="auto"/>
      <w:ind w:firstLine="709"/>
      <w:jc w:val="both"/>
    </w:pPr>
    <w:rPr>
      <w:rFonts w:ascii="Arial" w:hAnsi="Arial" w:cs="Arial"/>
      <w:kern w:val="2"/>
      <w:sz w:val="24"/>
      <w:szCs w:val="24"/>
    </w:rPr>
  </w:style>
  <w:style w:type="paragraph" w:styleId="PargrafodaLista">
    <w:name w:val="List Paragraph"/>
    <w:basedOn w:val="Normal"/>
    <w:uiPriority w:val="1"/>
    <w:rsid w:val="00BD49D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D49DF"/>
    <w:rPr>
      <w:color w:val="0000FF" w:themeColor="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BD49DF"/>
    <w:pPr>
      <w:spacing w:before="240" w:after="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  <w:kern w:val="0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2B4F96"/>
    <w:pPr>
      <w:tabs>
        <w:tab w:val="left" w:pos="480"/>
        <w:tab w:val="right" w:leader="dot" w:pos="8494"/>
      </w:tabs>
      <w:spacing w:before="120" w:after="120"/>
    </w:pPr>
    <w:rPr>
      <w:rFonts w:asciiTheme="minorHAnsi" w:hAnsiTheme="minorHAnsi"/>
      <w:b/>
      <w:bCs/>
      <w:caps/>
      <w:noProof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BD49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D49DF"/>
    <w:rPr>
      <w:rFonts w:ascii="Arial" w:hAnsi="Arial" w:cs="Arial"/>
      <w:kern w:val="2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D49DF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D49DF"/>
    <w:rPr>
      <w:rFonts w:ascii="Arial" w:hAnsi="Arial" w:cs="Arial"/>
      <w:kern w:val="2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BD49DF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qFormat/>
    <w:rsid w:val="00BD49DF"/>
    <w:pPr>
      <w:spacing w:after="0" w:line="240" w:lineRule="auto"/>
    </w:pPr>
    <w:rPr>
      <w:i/>
      <w:iCs/>
      <w:color w:val="1F497D" w:themeColor="text2"/>
      <w:sz w:val="18"/>
      <w:szCs w:val="18"/>
    </w:rPr>
  </w:style>
  <w:style w:type="paragraph" w:styleId="Sumrio2">
    <w:name w:val="toc 2"/>
    <w:basedOn w:val="Normal"/>
    <w:next w:val="Normal"/>
    <w:autoRedefine/>
    <w:uiPriority w:val="39"/>
    <w:unhideWhenUsed/>
    <w:rsid w:val="00BD49DF"/>
    <w:pPr>
      <w:tabs>
        <w:tab w:val="left" w:pos="960"/>
        <w:tab w:val="right" w:leader="dot" w:pos="8494"/>
      </w:tabs>
      <w:spacing w:after="0"/>
      <w:ind w:left="240"/>
    </w:pPr>
    <w:rPr>
      <w:rFonts w:asciiTheme="minorHAnsi" w:hAnsiTheme="minorHAnsi"/>
      <w:b/>
      <w:bCs/>
      <w:smallCaps/>
      <w:noProof/>
      <w:sz w:val="20"/>
      <w:szCs w:val="20"/>
    </w:rPr>
  </w:style>
  <w:style w:type="table" w:styleId="Tabelacomgrade">
    <w:name w:val="Table Grid"/>
    <w:basedOn w:val="Tabelanormal"/>
    <w:uiPriority w:val="39"/>
    <w:rsid w:val="00BD49DF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itation-15">
    <w:name w:val="citation-15"/>
    <w:basedOn w:val="Fontepargpadro"/>
    <w:rsid w:val="002B4F96"/>
  </w:style>
  <w:style w:type="character" w:customStyle="1" w:styleId="citation-14">
    <w:name w:val="citation-14"/>
    <w:basedOn w:val="Fontepargpadro"/>
    <w:rsid w:val="002B4F96"/>
  </w:style>
  <w:style w:type="character" w:customStyle="1" w:styleId="citation-13">
    <w:name w:val="citation-13"/>
    <w:basedOn w:val="Fontepargpadro"/>
    <w:rsid w:val="002B4F96"/>
  </w:style>
  <w:style w:type="character" w:customStyle="1" w:styleId="citation-12">
    <w:name w:val="citation-12"/>
    <w:basedOn w:val="Fontepargpadro"/>
    <w:rsid w:val="002B4F96"/>
  </w:style>
  <w:style w:type="character" w:customStyle="1" w:styleId="citation-11">
    <w:name w:val="citation-11"/>
    <w:basedOn w:val="Fontepargpadro"/>
    <w:rsid w:val="00682C34"/>
  </w:style>
  <w:style w:type="paragraph" w:styleId="NormalWeb">
    <w:name w:val="Normal (Web)"/>
    <w:basedOn w:val="Normal"/>
    <w:uiPriority w:val="99"/>
    <w:unhideWhenUsed/>
    <w:rsid w:val="00682C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</w:rPr>
  </w:style>
  <w:style w:type="character" w:customStyle="1" w:styleId="citation-10">
    <w:name w:val="citation-10"/>
    <w:basedOn w:val="Fontepargpadro"/>
    <w:rsid w:val="0003247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7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chapter/10.1007/978-981-19-0588-9_45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link.springer.com/chapter/10.1007/978-3-030-61834-6_31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8</Pages>
  <Words>1521</Words>
  <Characters>8218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ALEXANDRE REIS FRANCISCO JÚNIOR</dc:creator>
  <cp:lastModifiedBy>ALEXANDRE REIS FRANCISCO JÚNIOR</cp:lastModifiedBy>
  <cp:revision>1</cp:revision>
  <dcterms:created xsi:type="dcterms:W3CDTF">2026-03-19T16:17:00Z</dcterms:created>
  <dcterms:modified xsi:type="dcterms:W3CDTF">2026-03-19T17:10:00Z</dcterms:modified>
</cp:coreProperties>
</file>