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01D1" w14:textId="77777777" w:rsidR="00BD49DF" w:rsidRDefault="00BD49DF" w:rsidP="00BD49DF">
      <w:pPr>
        <w:jc w:val="center"/>
      </w:pPr>
      <w:r>
        <w:rPr>
          <w:noProof/>
          <w:lang w:eastAsia="pt-BR"/>
        </w:rPr>
        <w:drawing>
          <wp:inline distT="0" distB="0" distL="0" distR="0" wp14:anchorId="4160AE6B" wp14:editId="35101FAE">
            <wp:extent cx="2999238" cy="1219202"/>
            <wp:effectExtent l="0" t="0" r="0" b="0"/>
            <wp:docPr id="2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238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623" w14:textId="77777777" w:rsidR="00BD49DF" w:rsidRDefault="00BD49DF" w:rsidP="00BD49DF">
      <w:pPr>
        <w:jc w:val="center"/>
      </w:pPr>
    </w:p>
    <w:p w14:paraId="0846662F" w14:textId="77777777" w:rsidR="00BD49DF" w:rsidRDefault="00BD49DF" w:rsidP="002B4F96"/>
    <w:p w14:paraId="0FCAC7E8" w14:textId="77777777" w:rsidR="00BD49DF" w:rsidRPr="002B4F96" w:rsidRDefault="002B4F96" w:rsidP="00BD49DF">
      <w:pPr>
        <w:jc w:val="center"/>
        <w:rPr>
          <w:b/>
          <w:bCs/>
          <w:sz w:val="28"/>
          <w:szCs w:val="28"/>
          <w:lang w:eastAsia="pt-BR"/>
        </w:rPr>
      </w:pPr>
      <w:r w:rsidRPr="002B4F96">
        <w:rPr>
          <w:b/>
          <w:bCs/>
          <w:sz w:val="28"/>
          <w:szCs w:val="28"/>
          <w:lang w:eastAsia="pt-BR"/>
        </w:rPr>
        <w:t>RELATÓRIO FINAL</w:t>
      </w:r>
    </w:p>
    <w:p w14:paraId="7163D6E9" w14:textId="77777777" w:rsidR="00BD49DF" w:rsidRPr="0035372E" w:rsidRDefault="00BD49DF" w:rsidP="00BD49DF">
      <w:pPr>
        <w:jc w:val="center"/>
        <w:rPr>
          <w:b/>
          <w:bCs/>
          <w:lang w:eastAsia="pt-BR"/>
        </w:rPr>
      </w:pPr>
      <w:r w:rsidRPr="0035372E">
        <w:rPr>
          <w:b/>
          <w:bCs/>
          <w:sz w:val="28"/>
          <w:szCs w:val="28"/>
          <w:lang w:eastAsia="pt-BR"/>
        </w:rPr>
        <w:t>PLATAFORMA DE TESTES AUTÔNOMA VIDA:</w:t>
      </w:r>
    </w:p>
    <w:p w14:paraId="1E389B5D" w14:textId="77777777" w:rsidR="00BD49DF" w:rsidRPr="0060088D" w:rsidRDefault="00BD49DF" w:rsidP="00BD49DF">
      <w:pPr>
        <w:jc w:val="center"/>
        <w:rPr>
          <w:sz w:val="28"/>
          <w:szCs w:val="28"/>
          <w:lang w:eastAsia="pt-BR"/>
        </w:rPr>
      </w:pPr>
      <w:r w:rsidRPr="0060088D">
        <w:rPr>
          <w:sz w:val="28"/>
          <w:szCs w:val="28"/>
          <w:lang w:eastAsia="pt-BR"/>
        </w:rPr>
        <w:t>Implementação d</w:t>
      </w:r>
      <w:r>
        <w:rPr>
          <w:sz w:val="28"/>
          <w:szCs w:val="28"/>
          <w:lang w:eastAsia="pt-BR"/>
        </w:rPr>
        <w:t>e</w:t>
      </w:r>
      <w:r w:rsidRPr="0060088D">
        <w:rPr>
          <w:sz w:val="28"/>
          <w:szCs w:val="28"/>
          <w:lang w:eastAsia="pt-BR"/>
        </w:rPr>
        <w:t xml:space="preserve"> </w:t>
      </w:r>
      <w:r>
        <w:rPr>
          <w:sz w:val="28"/>
          <w:szCs w:val="28"/>
          <w:lang w:eastAsia="pt-BR"/>
        </w:rPr>
        <w:t xml:space="preserve">hardware e software para estimação do consumo energético do </w:t>
      </w:r>
      <w:r w:rsidRPr="0060088D">
        <w:rPr>
          <w:sz w:val="28"/>
          <w:szCs w:val="28"/>
          <w:lang w:eastAsia="pt-BR"/>
        </w:rPr>
        <w:t>veículo</w:t>
      </w:r>
    </w:p>
    <w:p w14:paraId="7CACF5DB" w14:textId="77777777" w:rsidR="00BD49DF" w:rsidRPr="0035372E" w:rsidRDefault="00BD49DF" w:rsidP="00BD49DF">
      <w:pPr>
        <w:jc w:val="center"/>
        <w:rPr>
          <w:sz w:val="28"/>
          <w:szCs w:val="28"/>
          <w:lang w:eastAsia="pt-BR"/>
        </w:rPr>
      </w:pPr>
    </w:p>
    <w:p w14:paraId="1260BFCF" w14:textId="77777777" w:rsidR="00BD49DF" w:rsidRDefault="00BD49DF" w:rsidP="00BD49DF">
      <w:pPr>
        <w:jc w:val="center"/>
        <w:rPr>
          <w:lang w:eastAsia="pt-BR"/>
        </w:rPr>
      </w:pPr>
    </w:p>
    <w:p w14:paraId="24AB1562" w14:textId="77777777" w:rsidR="00BD49DF" w:rsidRDefault="00BD49DF" w:rsidP="00BD49DF">
      <w:pPr>
        <w:spacing w:line="240" w:lineRule="auto"/>
        <w:ind w:left="4253"/>
        <w:jc w:val="both"/>
        <w:rPr>
          <w:szCs w:val="20"/>
          <w:lang w:eastAsia="pt-BR"/>
        </w:rPr>
      </w:pPr>
      <w:r>
        <w:rPr>
          <w:szCs w:val="20"/>
          <w:lang w:eastAsia="pt-BR"/>
        </w:rPr>
        <w:t xml:space="preserve">Relatório Final </w:t>
      </w:r>
      <w:r w:rsidR="002B4F96">
        <w:rPr>
          <w:szCs w:val="20"/>
          <w:lang w:eastAsia="pt-BR"/>
        </w:rPr>
        <w:t xml:space="preserve">de Iniciação Científica apresentado à </w:t>
      </w:r>
      <w:r w:rsidRPr="0038481F">
        <w:rPr>
          <w:szCs w:val="20"/>
          <w:lang w:eastAsia="pt-BR"/>
        </w:rPr>
        <w:t>Universidade Federal de Lavras, como parte das exigências do</w:t>
      </w:r>
      <w:r w:rsidR="002B4F96">
        <w:rPr>
          <w:szCs w:val="20"/>
          <w:lang w:eastAsia="pt-BR"/>
        </w:rPr>
        <w:t xml:space="preserve"> Programa Institucional Voluntário de Iniciação Científica PIV</w:t>
      </w:r>
      <w:r w:rsidRPr="0038481F">
        <w:rPr>
          <w:szCs w:val="20"/>
          <w:lang w:eastAsia="pt-BR"/>
        </w:rPr>
        <w:t>IC</w:t>
      </w:r>
      <w:r w:rsidR="002B4F96">
        <w:rPr>
          <w:szCs w:val="20"/>
          <w:lang w:eastAsia="pt-BR"/>
        </w:rPr>
        <w:t>, referente ao período encerrado em 28/02</w:t>
      </w:r>
      <w:r w:rsidRPr="00617AA7">
        <w:rPr>
          <w:szCs w:val="20"/>
          <w:lang w:eastAsia="pt-BR"/>
        </w:rPr>
        <w:t>/2026</w:t>
      </w:r>
      <w:r w:rsidRPr="0038481F">
        <w:rPr>
          <w:szCs w:val="20"/>
          <w:lang w:eastAsia="pt-BR"/>
        </w:rPr>
        <w:t>.</w:t>
      </w:r>
    </w:p>
    <w:p w14:paraId="52601862" w14:textId="77777777" w:rsidR="00BD49DF" w:rsidRPr="00617AA7" w:rsidRDefault="00BD49DF" w:rsidP="00BD49DF">
      <w:pPr>
        <w:spacing w:line="240" w:lineRule="auto"/>
        <w:jc w:val="center"/>
        <w:rPr>
          <w:szCs w:val="20"/>
          <w:lang w:eastAsia="pt-BR"/>
        </w:rPr>
      </w:pPr>
    </w:p>
    <w:p w14:paraId="4B9441E4" w14:textId="77777777" w:rsidR="00BD49DF" w:rsidRPr="00894BD9" w:rsidRDefault="00BD49DF" w:rsidP="00BD49DF">
      <w:pPr>
        <w:spacing w:line="240" w:lineRule="auto"/>
        <w:rPr>
          <w:shd w:val="clear" w:color="auto" w:fill="FFFFFF"/>
        </w:rPr>
      </w:pPr>
    </w:p>
    <w:p w14:paraId="11B09CF3" w14:textId="77777777" w:rsidR="00BD49DF" w:rsidRPr="0038481F" w:rsidRDefault="002B4F96" w:rsidP="00BD49DF">
      <w:pPr>
        <w:spacing w:line="240" w:lineRule="auto"/>
        <w:jc w:val="center"/>
        <w:rPr>
          <w:lang w:eastAsia="pt-BR"/>
        </w:rPr>
      </w:pPr>
      <w:r>
        <w:rPr>
          <w:lang w:eastAsia="pt-BR"/>
        </w:rPr>
        <w:t>Aluno</w:t>
      </w:r>
      <w:r w:rsidR="00BD49DF" w:rsidRPr="0038481F">
        <w:rPr>
          <w:lang w:eastAsia="pt-BR"/>
        </w:rPr>
        <w:t xml:space="preserve">: </w:t>
      </w:r>
      <w:r w:rsidR="00BD49DF">
        <w:rPr>
          <w:lang w:eastAsia="pt-BR"/>
        </w:rPr>
        <w:t>Alexandre Reis Francisco Júnior</w:t>
      </w:r>
    </w:p>
    <w:p w14:paraId="3F81D6F1" w14:textId="77777777" w:rsidR="00BD49DF" w:rsidRPr="0038481F" w:rsidRDefault="00BD49DF" w:rsidP="00BD49DF">
      <w:pPr>
        <w:spacing w:line="240" w:lineRule="auto"/>
        <w:jc w:val="center"/>
        <w:rPr>
          <w:lang w:eastAsia="pt-BR"/>
        </w:rPr>
      </w:pPr>
      <w:r w:rsidRPr="0038481F">
        <w:rPr>
          <w:lang w:eastAsia="pt-BR"/>
        </w:rPr>
        <w:t xml:space="preserve">E-mail: </w:t>
      </w:r>
      <w:r>
        <w:rPr>
          <w:lang w:eastAsia="pt-BR"/>
        </w:rPr>
        <w:t>alexandre.junior5</w:t>
      </w:r>
      <w:r w:rsidRPr="0038481F">
        <w:rPr>
          <w:lang w:eastAsia="pt-BR"/>
        </w:rPr>
        <w:t>@estudante.ufla.br</w:t>
      </w:r>
    </w:p>
    <w:p w14:paraId="731FAC05" w14:textId="77777777" w:rsidR="00BD49DF" w:rsidRPr="00F206A2" w:rsidRDefault="00BD49DF" w:rsidP="00BD49DF">
      <w:pPr>
        <w:spacing w:line="240" w:lineRule="auto"/>
        <w:jc w:val="center"/>
        <w:rPr>
          <w:lang w:val="en-US" w:eastAsia="pt-BR"/>
        </w:rPr>
      </w:pPr>
      <w:r w:rsidRPr="00B73D89">
        <w:rPr>
          <w:lang w:val="en-US" w:eastAsia="pt-BR"/>
        </w:rPr>
        <w:t xml:space="preserve">Lattes: </w:t>
      </w:r>
      <w:r w:rsidRPr="00F206A2">
        <w:rPr>
          <w:lang w:val="en-US" w:eastAsia="pt-BR"/>
        </w:rPr>
        <w:t>http://lattes.cnpq.br/2777681222261494</w:t>
      </w:r>
    </w:p>
    <w:p w14:paraId="21173F2B" w14:textId="77777777" w:rsidR="00BD49DF" w:rsidRPr="00F206A2" w:rsidRDefault="00BD49DF" w:rsidP="00BD49DF">
      <w:pPr>
        <w:spacing w:line="360" w:lineRule="auto"/>
        <w:jc w:val="center"/>
        <w:rPr>
          <w:lang w:val="en-US" w:eastAsia="pt-BR"/>
        </w:rPr>
      </w:pPr>
    </w:p>
    <w:p w14:paraId="13DF1822" w14:textId="77777777" w:rsidR="00BD49DF" w:rsidRPr="0038481F" w:rsidRDefault="00BD49DF" w:rsidP="00BD49DF">
      <w:pPr>
        <w:spacing w:line="240" w:lineRule="auto"/>
        <w:jc w:val="center"/>
        <w:rPr>
          <w:lang w:eastAsia="pt-BR"/>
        </w:rPr>
      </w:pPr>
      <w:r w:rsidRPr="0038481F">
        <w:rPr>
          <w:lang w:eastAsia="pt-BR"/>
        </w:rPr>
        <w:t>Orientador: Prof. Dr. Danilo Alves de Lima</w:t>
      </w:r>
    </w:p>
    <w:p w14:paraId="70AD9D13" w14:textId="77777777" w:rsidR="00BD49DF" w:rsidRPr="00F206A2" w:rsidRDefault="00BD49DF" w:rsidP="00BD49DF">
      <w:pPr>
        <w:spacing w:line="240" w:lineRule="auto"/>
        <w:jc w:val="center"/>
        <w:rPr>
          <w:lang w:val="fr-FR" w:eastAsia="pt-BR"/>
        </w:rPr>
      </w:pPr>
      <w:r w:rsidRPr="00F206A2">
        <w:rPr>
          <w:lang w:val="fr-FR" w:eastAsia="pt-BR"/>
        </w:rPr>
        <w:t>E-mail: danilo.delima@ufla.br - Ramal: 2</w:t>
      </w:r>
      <w:r>
        <w:rPr>
          <w:lang w:val="fr-FR" w:eastAsia="pt-BR"/>
        </w:rPr>
        <w:t>174</w:t>
      </w:r>
    </w:p>
    <w:p w14:paraId="4F6FE21B" w14:textId="77777777" w:rsidR="00BD49DF" w:rsidRPr="00F206A2" w:rsidRDefault="00BD49DF" w:rsidP="00BD49DF">
      <w:pPr>
        <w:spacing w:line="240" w:lineRule="auto"/>
        <w:jc w:val="center"/>
        <w:rPr>
          <w:highlight w:val="white"/>
          <w:lang w:val="fr-FR" w:eastAsia="pt-BR"/>
        </w:rPr>
      </w:pPr>
      <w:r w:rsidRPr="00F206A2">
        <w:rPr>
          <w:lang w:val="fr-FR" w:eastAsia="pt-BR"/>
        </w:rPr>
        <w:t xml:space="preserve">Lattes: </w:t>
      </w:r>
      <w:r w:rsidRPr="00F206A2">
        <w:rPr>
          <w:highlight w:val="white"/>
          <w:lang w:val="fr-FR" w:eastAsia="pt-BR"/>
        </w:rPr>
        <w:t>http://lattes.cnpq.br/8231212078243188</w:t>
      </w:r>
    </w:p>
    <w:p w14:paraId="1241F78F" w14:textId="77777777" w:rsidR="00BD49DF" w:rsidRPr="00F206A2" w:rsidRDefault="00BD49DF" w:rsidP="00BD49DF">
      <w:pPr>
        <w:spacing w:line="360" w:lineRule="auto"/>
        <w:jc w:val="center"/>
        <w:rPr>
          <w:highlight w:val="white"/>
          <w:lang w:val="fr-FR" w:eastAsia="pt-BR"/>
        </w:rPr>
      </w:pPr>
    </w:p>
    <w:p w14:paraId="07C2E2F3" w14:textId="77777777" w:rsidR="00BD49DF" w:rsidRPr="00F206A2" w:rsidRDefault="00BD49DF" w:rsidP="00BD49DF">
      <w:pPr>
        <w:spacing w:line="240" w:lineRule="auto"/>
        <w:jc w:val="center"/>
        <w:rPr>
          <w:szCs w:val="20"/>
          <w:lang w:val="fr-FR" w:eastAsia="pt-BR"/>
        </w:rPr>
      </w:pPr>
    </w:p>
    <w:p w14:paraId="5A892804" w14:textId="77777777" w:rsidR="00BD49DF" w:rsidRDefault="00BD49DF" w:rsidP="00BD49DF">
      <w:pPr>
        <w:jc w:val="center"/>
      </w:pPr>
      <w:r>
        <w:t>Lavras MG</w:t>
      </w:r>
    </w:p>
    <w:p w14:paraId="5AD113F1" w14:textId="77777777" w:rsidR="00BD49DF" w:rsidRDefault="00BD49DF" w:rsidP="00BD49DF">
      <w:pPr>
        <w:jc w:val="center"/>
      </w:pPr>
      <w:r>
        <w:t>Março de 2026</w:t>
      </w:r>
      <w:r>
        <w:br w:type="page"/>
      </w:r>
    </w:p>
    <w:sdt>
      <w:sdtPr>
        <w:rPr>
          <w:rFonts w:ascii="Arial" w:eastAsiaTheme="minorHAnsi" w:hAnsi="Arial" w:cs="Arial"/>
          <w:b/>
          <w:bCs/>
          <w:color w:val="auto"/>
          <w:kern w:val="2"/>
          <w:sz w:val="28"/>
          <w:szCs w:val="28"/>
          <w:lang w:eastAsia="en-US"/>
        </w:rPr>
        <w:id w:val="-1539038931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1F6F35F" w14:textId="77777777" w:rsidR="00BD49DF" w:rsidRDefault="00BD49DF" w:rsidP="00BD49DF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9917D1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19E34FCB" w14:textId="77777777" w:rsidR="00BD49DF" w:rsidRDefault="00BD49DF" w:rsidP="00BD49DF"/>
        <w:p w14:paraId="4078CEC7" w14:textId="77777777" w:rsidR="00BD49DF" w:rsidRDefault="00BD49DF" w:rsidP="00BD49DF"/>
        <w:p w14:paraId="4EBA92F3" w14:textId="0E7BD7D1" w:rsidR="00445AD8" w:rsidRDefault="00BD49DF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r w:rsidRPr="009917D1">
            <w:rPr>
              <w:rFonts w:ascii="Arial" w:hAnsi="Arial"/>
              <w:i/>
              <w:iCs/>
              <w:sz w:val="22"/>
              <w:szCs w:val="22"/>
            </w:rPr>
            <w:fldChar w:fldCharType="begin"/>
          </w:r>
          <w:r w:rsidRPr="009917D1">
            <w:rPr>
              <w:rFonts w:ascii="Arial" w:hAnsi="Arial"/>
              <w:i/>
              <w:iCs/>
              <w:sz w:val="22"/>
              <w:szCs w:val="22"/>
            </w:rPr>
            <w:instrText xml:space="preserve"> TOC \o "1-3" \h \z \u </w:instrText>
          </w:r>
          <w:r w:rsidRPr="009917D1">
            <w:rPr>
              <w:rFonts w:ascii="Arial" w:hAnsi="Arial"/>
              <w:i/>
              <w:iCs/>
              <w:sz w:val="22"/>
              <w:szCs w:val="22"/>
            </w:rPr>
            <w:fldChar w:fldCharType="separate"/>
          </w:r>
          <w:hyperlink w:anchor="_Toc224942094" w:history="1">
            <w:r w:rsidR="00445AD8" w:rsidRPr="009B72C5">
              <w:rPr>
                <w:rStyle w:val="Hyperlink"/>
              </w:rPr>
              <w:t>1.</w:t>
            </w:r>
            <w:r w:rsidR="00445AD8"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="00445AD8" w:rsidRPr="009B72C5">
              <w:rPr>
                <w:rStyle w:val="Hyperlink"/>
              </w:rPr>
              <w:t>Introdução e justificativa</w:t>
            </w:r>
            <w:r w:rsidR="00445AD8">
              <w:rPr>
                <w:webHidden/>
              </w:rPr>
              <w:tab/>
            </w:r>
            <w:r w:rsidR="00445AD8">
              <w:rPr>
                <w:webHidden/>
              </w:rPr>
              <w:fldChar w:fldCharType="begin"/>
            </w:r>
            <w:r w:rsidR="00445AD8">
              <w:rPr>
                <w:webHidden/>
              </w:rPr>
              <w:instrText xml:space="preserve"> PAGEREF _Toc224942094 \h </w:instrText>
            </w:r>
            <w:r w:rsidR="00445AD8">
              <w:rPr>
                <w:webHidden/>
              </w:rPr>
            </w:r>
            <w:r w:rsidR="00445AD8">
              <w:rPr>
                <w:webHidden/>
              </w:rPr>
              <w:fldChar w:fldCharType="separate"/>
            </w:r>
            <w:r w:rsidR="00445AD8">
              <w:rPr>
                <w:webHidden/>
              </w:rPr>
              <w:t>3</w:t>
            </w:r>
            <w:r w:rsidR="00445AD8">
              <w:rPr>
                <w:webHidden/>
              </w:rPr>
              <w:fldChar w:fldCharType="end"/>
            </w:r>
          </w:hyperlink>
        </w:p>
        <w:p w14:paraId="66A46198" w14:textId="62495144" w:rsidR="00445AD8" w:rsidRDefault="00445AD8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hyperlink w:anchor="_Toc224942095" w:history="1">
            <w:r w:rsidRPr="009B72C5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4104F2" w14:textId="0D20425B" w:rsidR="00445AD8" w:rsidRDefault="00445AD8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hyperlink w:anchor="_Toc224942096" w:history="1">
            <w:r w:rsidRPr="009B72C5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679401" w14:textId="4943AF2B" w:rsidR="00445AD8" w:rsidRDefault="00445AD8">
          <w:pPr>
            <w:pStyle w:val="Sumrio2"/>
            <w:rPr>
              <w:rFonts w:eastAsiaTheme="minorEastAsia" w:cstheme="minorBidi"/>
              <w:b w:val="0"/>
              <w:bCs w:val="0"/>
              <w:smallCaps w:val="0"/>
              <w:kern w:val="0"/>
              <w:sz w:val="22"/>
              <w:szCs w:val="22"/>
              <w:lang w:eastAsia="pt-BR"/>
            </w:rPr>
          </w:pPr>
          <w:hyperlink w:anchor="_Toc224942097" w:history="1">
            <w:r w:rsidRPr="009B72C5">
              <w:rPr>
                <w:rStyle w:val="Hyperlink"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small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Seleção do S</w:t>
            </w:r>
            <w:r w:rsidRPr="009B72C5">
              <w:rPr>
                <w:rStyle w:val="Hyperlink"/>
              </w:rPr>
              <w:t>e</w:t>
            </w:r>
            <w:r w:rsidRPr="009B72C5">
              <w:rPr>
                <w:rStyle w:val="Hyperlink"/>
              </w:rPr>
              <w:t>nsor de Corrente e Cálculo de Demanda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A5A6E7" w14:textId="4C94EE21" w:rsidR="00445AD8" w:rsidRDefault="00445AD8">
          <w:pPr>
            <w:pStyle w:val="Sumrio2"/>
            <w:rPr>
              <w:rFonts w:eastAsiaTheme="minorEastAsia" w:cstheme="minorBidi"/>
              <w:b w:val="0"/>
              <w:bCs w:val="0"/>
              <w:smallCaps w:val="0"/>
              <w:kern w:val="0"/>
              <w:sz w:val="22"/>
              <w:szCs w:val="22"/>
              <w:lang w:eastAsia="pt-BR"/>
            </w:rPr>
          </w:pPr>
          <w:hyperlink w:anchor="_Toc224942098" w:history="1">
            <w:r w:rsidRPr="009B72C5">
              <w:rPr>
                <w:rStyle w:val="Hyperlink"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small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Condicio</w:t>
            </w:r>
            <w:r w:rsidRPr="009B72C5">
              <w:rPr>
                <w:rStyle w:val="Hyperlink"/>
              </w:rPr>
              <w:t>n</w:t>
            </w:r>
            <w:r w:rsidRPr="009B72C5">
              <w:rPr>
                <w:rStyle w:val="Hyperlink"/>
              </w:rPr>
              <w:t>amento do Sinal de Corrente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600E320" w14:textId="63BAB1AC" w:rsidR="00445AD8" w:rsidRDefault="00445AD8">
          <w:pPr>
            <w:pStyle w:val="Sumrio2"/>
            <w:rPr>
              <w:rFonts w:eastAsiaTheme="minorEastAsia" w:cstheme="minorBidi"/>
              <w:b w:val="0"/>
              <w:bCs w:val="0"/>
              <w:smallCaps w:val="0"/>
              <w:kern w:val="0"/>
              <w:sz w:val="22"/>
              <w:szCs w:val="22"/>
              <w:lang w:eastAsia="pt-BR"/>
            </w:rPr>
          </w:pPr>
          <w:hyperlink w:anchor="_Toc224942099" w:history="1">
            <w:r w:rsidRPr="009B72C5">
              <w:rPr>
                <w:rStyle w:val="Hyperlink"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small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 xml:space="preserve">Medição do </w:t>
            </w:r>
            <w:r w:rsidRPr="009B72C5">
              <w:rPr>
                <w:rStyle w:val="Hyperlink"/>
              </w:rPr>
              <w:t>N</w:t>
            </w:r>
            <w:r w:rsidRPr="009B72C5">
              <w:rPr>
                <w:rStyle w:val="Hyperlink"/>
              </w:rPr>
              <w:t>ível de Tensão da Bateria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B164274" w14:textId="33364816" w:rsidR="00445AD8" w:rsidRDefault="00445AD8">
          <w:pPr>
            <w:pStyle w:val="Sumrio2"/>
            <w:rPr>
              <w:rFonts w:eastAsiaTheme="minorEastAsia" w:cstheme="minorBidi"/>
              <w:b w:val="0"/>
              <w:bCs w:val="0"/>
              <w:smallCaps w:val="0"/>
              <w:kern w:val="0"/>
              <w:sz w:val="22"/>
              <w:szCs w:val="22"/>
              <w:lang w:eastAsia="pt-BR"/>
            </w:rPr>
          </w:pPr>
          <w:hyperlink w:anchor="_Toc224942100" w:history="1">
            <w:r w:rsidRPr="009B72C5">
              <w:rPr>
                <w:rStyle w:val="Hyperlink"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small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Simulação e Des</w:t>
            </w:r>
            <w:r w:rsidRPr="009B72C5">
              <w:rPr>
                <w:rStyle w:val="Hyperlink"/>
              </w:rPr>
              <w:t>e</w:t>
            </w:r>
            <w:r w:rsidRPr="009B72C5">
              <w:rPr>
                <w:rStyle w:val="Hyperlink"/>
              </w:rPr>
              <w:t>nvolvimento de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0003156" w14:textId="51D5C9A9" w:rsidR="00445AD8" w:rsidRDefault="00445AD8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hyperlink w:anchor="_Toc224942101" w:history="1">
            <w:r w:rsidRPr="009B72C5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Resultados e Discus</w:t>
            </w:r>
            <w:r w:rsidRPr="009B72C5">
              <w:rPr>
                <w:rStyle w:val="Hyperlink"/>
              </w:rPr>
              <w:t>s</w:t>
            </w:r>
            <w:r w:rsidRPr="009B72C5">
              <w:rPr>
                <w:rStyle w:val="Hyperlink"/>
              </w:rPr>
              <w:t>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27177E0" w14:textId="63BBC404" w:rsidR="00445AD8" w:rsidRDefault="00445AD8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hyperlink w:anchor="_Toc224942102" w:history="1">
            <w:r w:rsidRPr="009B72C5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Conclusão e T</w:t>
            </w:r>
            <w:r w:rsidRPr="009B72C5">
              <w:rPr>
                <w:rStyle w:val="Hyperlink"/>
              </w:rPr>
              <w:t>r</w:t>
            </w:r>
            <w:r w:rsidRPr="009B72C5">
              <w:rPr>
                <w:rStyle w:val="Hyperlink"/>
              </w:rPr>
              <w:t>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61098BB" w14:textId="22089AC4" w:rsidR="00445AD8" w:rsidRDefault="00445AD8">
          <w:pPr>
            <w:pStyle w:val="Sumrio1"/>
            <w:rPr>
              <w:rFonts w:eastAsiaTheme="minorEastAsia" w:cstheme="minorBidi"/>
              <w:b w:val="0"/>
              <w:bCs w:val="0"/>
              <w:caps w:val="0"/>
              <w:kern w:val="0"/>
              <w:sz w:val="22"/>
              <w:szCs w:val="22"/>
              <w:lang w:eastAsia="pt-BR"/>
            </w:rPr>
          </w:pPr>
          <w:hyperlink w:anchor="_Toc224942103" w:history="1">
            <w:r w:rsidRPr="009B72C5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kern w:val="0"/>
                <w:sz w:val="22"/>
                <w:szCs w:val="22"/>
                <w:lang w:eastAsia="pt-BR"/>
              </w:rPr>
              <w:tab/>
            </w:r>
            <w:r w:rsidRPr="009B72C5">
              <w:rPr>
                <w:rStyle w:val="Hyperlink"/>
              </w:rPr>
              <w:t>Referên</w:t>
            </w:r>
            <w:r w:rsidRPr="009B72C5">
              <w:rPr>
                <w:rStyle w:val="Hyperlink"/>
              </w:rPr>
              <w:t>c</w:t>
            </w:r>
            <w:r w:rsidRPr="009B72C5">
              <w:rPr>
                <w:rStyle w:val="Hyperlink"/>
              </w:rPr>
              <w:t>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_Toc224942103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A62B717" w14:textId="65BFF4EE" w:rsidR="00BD49DF" w:rsidRDefault="00BD49DF" w:rsidP="00BD49DF">
          <w:r w:rsidRPr="009917D1">
            <w:rPr>
              <w:i/>
              <w:iCs/>
              <w:caps/>
              <w:sz w:val="22"/>
              <w:szCs w:val="22"/>
            </w:rPr>
            <w:fldChar w:fldCharType="end"/>
          </w:r>
        </w:p>
      </w:sdtContent>
    </w:sdt>
    <w:p w14:paraId="5816B044" w14:textId="77777777" w:rsidR="00BD49DF" w:rsidRDefault="00BD49DF" w:rsidP="00BD49DF">
      <w:pPr>
        <w:pStyle w:val="Ttulo1"/>
        <w:sectPr w:rsidR="00BD49DF" w:rsidSect="00BD49DF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9750268" w14:textId="77777777" w:rsidR="00BD49DF" w:rsidRDefault="00BD49DF" w:rsidP="00BD49DF">
      <w:pPr>
        <w:rPr>
          <w:rFonts w:eastAsiaTheme="majorEastAsia"/>
          <w:b/>
          <w:bCs/>
          <w:sz w:val="28"/>
          <w:szCs w:val="28"/>
        </w:rPr>
      </w:pPr>
      <w:r>
        <w:br w:type="page"/>
      </w:r>
    </w:p>
    <w:p w14:paraId="18EA4A97" w14:textId="77777777" w:rsidR="00BD49DF" w:rsidRPr="00AE398E" w:rsidRDefault="00BD49DF" w:rsidP="00971F5F">
      <w:pPr>
        <w:pStyle w:val="Ttulo1"/>
        <w:numPr>
          <w:ilvl w:val="0"/>
          <w:numId w:val="1"/>
        </w:numPr>
      </w:pPr>
      <w:bookmarkStart w:id="0" w:name="_Toc224942094"/>
      <w:r w:rsidRPr="00232679">
        <w:lastRenderedPageBreak/>
        <w:t>Introdução</w:t>
      </w:r>
      <w:r>
        <w:t xml:space="preserve"> e justificativa</w:t>
      </w:r>
      <w:bookmarkEnd w:id="0"/>
    </w:p>
    <w:p w14:paraId="6F3C519A" w14:textId="77777777" w:rsidR="00971F5F" w:rsidRPr="00971F5F" w:rsidRDefault="00971F5F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>A pesquisa e desenvolvimento de veículos elétricos e inteligentes está em evidência, dado a combinação de avanços tecnológicos e promessa de benefícios em diversas áreas, como a segurança no trânsito e a sustentabilidade ambiental [1], [2]. Dentro desse contexto, o Laboratório de Mobilidade Terrestre (LMT) da Universidade Federal de Lavras (UFLA) desenvolve o Projeto VIDA (Veículo Inteligente de Desenvolvimento Aplicado), uma plataforma autônoma voltada para o desenvolvimento e testes de tecnologias de mobilidade.</w:t>
      </w:r>
    </w:p>
    <w:p w14:paraId="78137D79" w14:textId="77777777" w:rsidR="00971F5F" w:rsidRPr="00971F5F" w:rsidRDefault="00971F5F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>Com base na plataforma de testes VIDA, é fundamental que haja uma estimação do consumo energético do veículo em tempo real. O desenvolvimento de veículos elétricos inteligentes exige um gerenciamento eficiente da energia, o que é vital para a autonomia e confiabilidade do sistema. Sem o conhecimento preciso da autonomia, o planejamento de rotas e a eficiência do veículo ficam comprometidos.</w:t>
      </w:r>
    </w:p>
    <w:p w14:paraId="1EC186F7" w14:textId="77777777" w:rsidR="00971F5F" w:rsidRPr="00971F5F" w:rsidRDefault="00971F5F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 xml:space="preserve">Estudos recentes têm destacado a necessidade de sensores e sistemas integrados para mensuração do consumo energético durante a operação dos veículos. Sensores de tensão, corrente, temperatura e microcontroladores como Arduino ou ESP32 podem ser utilizados para criar sistemas de medição embarcados robustos [3]. Integrados a plataformas </w:t>
      </w:r>
      <w:proofErr w:type="spellStart"/>
      <w:r w:rsidRPr="00971F5F">
        <w:rPr>
          <w:rFonts w:ascii="Arial" w:hAnsi="Arial" w:cs="Arial"/>
          <w:i/>
          <w:iCs/>
        </w:rPr>
        <w:t>IoT</w:t>
      </w:r>
      <w:proofErr w:type="spellEnd"/>
      <w:r w:rsidRPr="00971F5F">
        <w:rPr>
          <w:rFonts w:ascii="Arial" w:hAnsi="Arial" w:cs="Arial"/>
        </w:rPr>
        <w:t xml:space="preserve"> (Internet das Coisas), esses sistemas possibilitam o monitoramento contínuo [4] e permitem realizar ajustes dinâmicos na estratégia de navegação, além de embasar políticas de eletrificação [5].</w:t>
      </w:r>
    </w:p>
    <w:p w14:paraId="01637CE3" w14:textId="77777777" w:rsidR="00971F5F" w:rsidRPr="00971F5F" w:rsidRDefault="00971F5F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>No contexto específico deste plano de trabalho vinculado ao PIVIC, buscou-se iniciar a implementação desse sistema de estimação. Diferentemente de modelos residenciais que operam com corrente alternada (CA), os motores de tração elétrica da plataforma operam em corrente contínua (CC), o que exige uma instrumentação eletrônica dedicada. Sendo assim, o projeto focou no desenvolvimento e validação de um hardware de medição de baixo custo, utilizando o microcontrolador Arduino, capaz de suportar e condicionar os sinais provenientes das altas correntes exigidas pelos motores do veículo.</w:t>
      </w:r>
    </w:p>
    <w:p w14:paraId="60BACB0F" w14:textId="77777777" w:rsidR="00BD49DF" w:rsidRDefault="00BD49DF" w:rsidP="00BD49DF">
      <w:pPr>
        <w:rPr>
          <w:rFonts w:eastAsiaTheme="majorEastAsia"/>
          <w:b/>
          <w:bCs/>
          <w:sz w:val="28"/>
          <w:szCs w:val="28"/>
        </w:rPr>
      </w:pPr>
    </w:p>
    <w:p w14:paraId="790CD9EF" w14:textId="77777777" w:rsidR="00BD49DF" w:rsidRDefault="00BD49DF" w:rsidP="00BD49DF">
      <w:pPr>
        <w:pStyle w:val="Ttulo1"/>
        <w:numPr>
          <w:ilvl w:val="0"/>
          <w:numId w:val="1"/>
        </w:numPr>
      </w:pPr>
      <w:bookmarkStart w:id="1" w:name="_Toc224942095"/>
      <w:r w:rsidRPr="00232679">
        <w:t>Objetivos</w:t>
      </w:r>
      <w:bookmarkEnd w:id="1"/>
    </w:p>
    <w:p w14:paraId="7D11A92C" w14:textId="77777777" w:rsidR="00BD49DF" w:rsidRDefault="00BD49DF" w:rsidP="00BD49DF">
      <w:pPr>
        <w:pStyle w:val="SemEspaamento"/>
      </w:pPr>
    </w:p>
    <w:p w14:paraId="2993E6DC" w14:textId="77777777" w:rsidR="00682C34" w:rsidRPr="00682C34" w:rsidRDefault="00682C34" w:rsidP="00682C34">
      <w:pPr>
        <w:spacing w:after="0" w:line="360" w:lineRule="auto"/>
        <w:ind w:firstLine="360"/>
        <w:jc w:val="both"/>
      </w:pPr>
      <w:r w:rsidRPr="00682C34">
        <w:t>O objetivo principal deste período da pesquisa foi iniciar a instrumentação da plataforma VIDA com sensores para o monitoramento em te</w:t>
      </w:r>
      <w:r w:rsidR="00971F5F">
        <w:t>mpo real da corrente e tensão do banco de</w:t>
      </w:r>
      <w:r w:rsidRPr="00682C34">
        <w:t xml:space="preserve"> bateria</w:t>
      </w:r>
      <w:r w:rsidR="00971F5F">
        <w:t>s</w:t>
      </w:r>
      <w:r w:rsidRPr="00682C34">
        <w:t>.</w:t>
      </w:r>
    </w:p>
    <w:p w14:paraId="2A0C52BA" w14:textId="77777777" w:rsidR="00682C34" w:rsidRPr="00D84899" w:rsidRDefault="00682C34" w:rsidP="00BD49DF">
      <w:pPr>
        <w:pStyle w:val="SemEspaamento"/>
      </w:pPr>
    </w:p>
    <w:p w14:paraId="35CE6404" w14:textId="77777777" w:rsidR="00682C34" w:rsidRDefault="00682C34" w:rsidP="00BD49DF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>Definir a arquitetura de hardware adequada para medição de corrente contínua de alta potência;</w:t>
      </w:r>
    </w:p>
    <w:p w14:paraId="49DFBB01" w14:textId="19A63A28" w:rsidR="00682C34" w:rsidRDefault="00682C34" w:rsidP="00BD49DF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 xml:space="preserve">Projetar e simular os circuitos </w:t>
      </w:r>
      <w:r w:rsidR="00971F5F">
        <w:t xml:space="preserve">eletrônicos </w:t>
      </w:r>
      <w:r>
        <w:t xml:space="preserve">de condicionamento de sinal para </w:t>
      </w:r>
      <w:r w:rsidR="00971F5F">
        <w:t xml:space="preserve">adequar </w:t>
      </w:r>
      <w:r w:rsidR="00C91B64">
        <w:t>a</w:t>
      </w:r>
      <w:r w:rsidR="00971F5F">
        <w:t>s leituras ao</w:t>
      </w:r>
      <w:r>
        <w:t xml:space="preserve"> conversor analógico-digital (ADC) do microcontrolador;</w:t>
      </w:r>
    </w:p>
    <w:p w14:paraId="2715EF21" w14:textId="77777777" w:rsidR="00682C34" w:rsidRDefault="00682C34" w:rsidP="00682C34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 xml:space="preserve">Desenvolver </w:t>
      </w:r>
      <w:r w:rsidR="00971F5F">
        <w:t>a lógica e o código inicial para a aquisição de dados</w:t>
      </w:r>
      <w:r>
        <w:t>;</w:t>
      </w:r>
    </w:p>
    <w:p w14:paraId="0F838FB2" w14:textId="77777777" w:rsidR="00682C34" w:rsidRDefault="00682C34" w:rsidP="00BD49DF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>Realizar</w:t>
      </w:r>
      <w:r w:rsidR="00971F5F">
        <w:t xml:space="preserve"> teste em ambiente de simulação, testes de bancada e os primeiros testes práticos no veículo</w:t>
      </w:r>
      <w:r>
        <w:t xml:space="preserve"> para validaçã</w:t>
      </w:r>
      <w:r w:rsidR="00971F5F">
        <w:t>o da instrumentação</w:t>
      </w:r>
      <w:r>
        <w:t>.</w:t>
      </w:r>
    </w:p>
    <w:p w14:paraId="452C56D0" w14:textId="77777777" w:rsidR="00BD49DF" w:rsidRDefault="00BD49DF" w:rsidP="00BD49DF">
      <w:pPr>
        <w:pStyle w:val="Ttulo1"/>
        <w:numPr>
          <w:ilvl w:val="0"/>
          <w:numId w:val="1"/>
        </w:numPr>
      </w:pPr>
      <w:bookmarkStart w:id="2" w:name="_Toc224942096"/>
      <w:r w:rsidRPr="00232679">
        <w:t>Metodologia</w:t>
      </w:r>
      <w:bookmarkEnd w:id="2"/>
    </w:p>
    <w:p w14:paraId="510B376A" w14:textId="77777777" w:rsidR="00032473" w:rsidRPr="00032473" w:rsidRDefault="00682C34" w:rsidP="00032473">
      <w:pPr>
        <w:pStyle w:val="NormalWeb"/>
        <w:spacing w:line="360" w:lineRule="auto"/>
        <w:ind w:firstLine="360"/>
        <w:jc w:val="both"/>
        <w:rPr>
          <w:rFonts w:ascii="Arial" w:eastAsiaTheme="minorHAnsi" w:hAnsi="Arial" w:cs="Arial"/>
          <w:kern w:val="2"/>
          <w:lang w:eastAsia="en-US"/>
        </w:rPr>
      </w:pPr>
      <w:r w:rsidRPr="00682C34">
        <w:rPr>
          <w:rFonts w:ascii="Arial" w:eastAsiaTheme="minorHAnsi" w:hAnsi="Arial" w:cs="Arial"/>
          <w:kern w:val="2"/>
          <w:lang w:eastAsia="en-US"/>
        </w:rPr>
        <w:t>A metodologia baseou-se no desenvolvimento</w:t>
      </w:r>
      <w:r w:rsidR="00971F5F">
        <w:rPr>
          <w:rFonts w:ascii="Arial" w:eastAsiaTheme="minorHAnsi" w:hAnsi="Arial" w:cs="Arial"/>
          <w:kern w:val="2"/>
          <w:lang w:eastAsia="en-US"/>
        </w:rPr>
        <w:t>, simulação e prototipagem do</w:t>
      </w:r>
      <w:r w:rsidRPr="00682C34">
        <w:rPr>
          <w:rFonts w:ascii="Arial" w:eastAsiaTheme="minorHAnsi" w:hAnsi="Arial" w:cs="Arial"/>
          <w:kern w:val="2"/>
          <w:lang w:eastAsia="en-US"/>
        </w:rPr>
        <w:t xml:space="preserve"> hardware para aquisição de dados, dividida nas seguintes etapas:</w:t>
      </w:r>
    </w:p>
    <w:p w14:paraId="3659ACC8" w14:textId="77777777" w:rsidR="00BD49DF" w:rsidRDefault="00BD49DF" w:rsidP="002052DE">
      <w:pPr>
        <w:pStyle w:val="Ttulo2"/>
      </w:pPr>
      <w:bookmarkStart w:id="3" w:name="_Toc182214672"/>
      <w:r w:rsidRPr="002052DE">
        <w:t xml:space="preserve"> </w:t>
      </w:r>
      <w:bookmarkStart w:id="4" w:name="_Toc200029179"/>
      <w:bookmarkStart w:id="5" w:name="_Toc200029180"/>
      <w:bookmarkStart w:id="6" w:name="_Toc200029181"/>
      <w:bookmarkStart w:id="7" w:name="_Toc200029182"/>
      <w:bookmarkStart w:id="8" w:name="_Toc200029183"/>
      <w:bookmarkStart w:id="9" w:name="_Toc200029184"/>
      <w:bookmarkStart w:id="10" w:name="_Toc200029185"/>
      <w:bookmarkStart w:id="11" w:name="_Toc200029186"/>
      <w:bookmarkStart w:id="12" w:name="_Toc200029187"/>
      <w:bookmarkStart w:id="13" w:name="_Toc200029188"/>
      <w:bookmarkStart w:id="14" w:name="_Toc200029189"/>
      <w:bookmarkStart w:id="15" w:name="_Toc200029190"/>
      <w:bookmarkStart w:id="16" w:name="_Toc200029191"/>
      <w:bookmarkStart w:id="17" w:name="_Toc200029192"/>
      <w:bookmarkStart w:id="18" w:name="_Toc200029193"/>
      <w:bookmarkStart w:id="19" w:name="_Toc200029194"/>
      <w:bookmarkStart w:id="20" w:name="_Toc200029195"/>
      <w:bookmarkStart w:id="21" w:name="_Toc200029196"/>
      <w:bookmarkStart w:id="22" w:name="_Toc200029197"/>
      <w:bookmarkStart w:id="23" w:name="_Toc200029198"/>
      <w:bookmarkStart w:id="24" w:name="_Toc200029199"/>
      <w:bookmarkStart w:id="25" w:name="_Toc200029200"/>
      <w:bookmarkStart w:id="26" w:name="_Toc200029201"/>
      <w:bookmarkStart w:id="27" w:name="_Toc200029202"/>
      <w:bookmarkStart w:id="28" w:name="_Toc200029203"/>
      <w:bookmarkStart w:id="29" w:name="_Toc200029204"/>
      <w:bookmarkStart w:id="30" w:name="_Toc200029205"/>
      <w:bookmarkStart w:id="31" w:name="_Toc200029206"/>
      <w:bookmarkStart w:id="32" w:name="_Toc200029207"/>
      <w:bookmarkStart w:id="33" w:name="_Toc224942097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="002052DE" w:rsidRPr="002052DE">
        <w:t>Seleção do Sensor de Corrente</w:t>
      </w:r>
      <w:r w:rsidR="00971F5F">
        <w:t xml:space="preserve"> e Cálculo de Demanda</w:t>
      </w:r>
      <w:bookmarkEnd w:id="33"/>
    </w:p>
    <w:p w14:paraId="2946553E" w14:textId="1B445D25" w:rsidR="00281309" w:rsidRDefault="00971F5F" w:rsidP="00971F5F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 xml:space="preserve">A primeira etapa consistiu em definir o método de leitura da corrente consumida pelo veículo. Avaliou-se o uso de sensores de Efeito Hall e de resistores </w:t>
      </w:r>
      <w:r w:rsidRPr="00971F5F">
        <w:rPr>
          <w:rFonts w:ascii="Arial" w:hAnsi="Arial" w:cs="Arial"/>
          <w:i/>
          <w:iCs/>
        </w:rPr>
        <w:t>shunt</w:t>
      </w:r>
      <w:r w:rsidRPr="00971F5F">
        <w:rPr>
          <w:rFonts w:ascii="Arial" w:hAnsi="Arial" w:cs="Arial"/>
        </w:rPr>
        <w:t xml:space="preserve">. O motor de tração da plataforma VIDA possui potência nominal de 1000W e opera com tensão nominal de 36V. Utilizando a equação de potência elétrica em corrente contínua </w:t>
      </w:r>
      <m:oMath>
        <m:r>
          <w:rPr>
            <w:rFonts w:ascii="Cambria Math" w:hAnsi="Cambria Math" w:cs="Arial"/>
            <w:sz w:val="28"/>
            <w:szCs w:val="28"/>
          </w:rPr>
          <m:t>(P=V∙I)</m:t>
        </m:r>
      </m:oMath>
      <w:r w:rsidRPr="00971F5F">
        <w:rPr>
          <w:rFonts w:ascii="Arial" w:hAnsi="Arial" w:cs="Arial"/>
        </w:rPr>
        <w:t xml:space="preserve">, a corrente nominal em regime de operação contínua é de aproximadamente 27,7A. No entanto, sabe-se que a corrente de partida para tirar o veículo do estado de inércia pode atingir elevados picos. </w:t>
      </w:r>
    </w:p>
    <w:p w14:paraId="0A40E42C" w14:textId="77777777" w:rsidR="00024342" w:rsidRPr="00024342" w:rsidRDefault="00024342" w:rsidP="00024342">
      <w:pPr>
        <w:spacing w:before="100" w:beforeAutospacing="1" w:after="100" w:afterAutospacing="1" w:line="360" w:lineRule="auto"/>
        <w:ind w:firstLine="360"/>
        <w:jc w:val="both"/>
        <w:rPr>
          <w:rFonts w:eastAsia="Times New Roman"/>
          <w:kern w:val="0"/>
          <w:lang w:eastAsia="pt-BR"/>
        </w:rPr>
      </w:pPr>
      <w:r w:rsidRPr="00024342">
        <w:rPr>
          <w:rFonts w:eastAsia="Times New Roman"/>
          <w:kern w:val="0"/>
          <w:lang w:eastAsia="pt-BR"/>
        </w:rPr>
        <w:t>De acordo com a teoria fundamental de máquinas elétricas, a corrente de armadura (Ia​) de um motor CC é definida pela seguinte equação:</w:t>
      </w:r>
    </w:p>
    <w:p w14:paraId="767E2BBF" w14:textId="77777777" w:rsidR="00024342" w:rsidRPr="00C91B64" w:rsidRDefault="00395F37" w:rsidP="00024342">
      <w:pPr>
        <w:spacing w:after="0" w:line="360" w:lineRule="auto"/>
        <w:jc w:val="center"/>
        <w:rPr>
          <w:rFonts w:eastAsia="Times New Roman"/>
          <w:kern w:val="0"/>
          <w:sz w:val="28"/>
          <w:szCs w:val="28"/>
          <w:lang w:eastAsia="pt-BR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kern w:val="0"/>
                  <w:sz w:val="28"/>
                  <w:szCs w:val="28"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 w:val="28"/>
                  <w:szCs w:val="28"/>
                  <w:lang w:eastAsia="pt-BR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kern w:val="0"/>
                  <w:sz w:val="28"/>
                  <w:szCs w:val="28"/>
                  <w:lang w:eastAsia="pt-BR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/>
              <w:kern w:val="0"/>
              <w:sz w:val="28"/>
              <w:szCs w:val="28"/>
              <w:lang w:eastAsia="pt-BR"/>
            </w:rPr>
            <m:t>=</m:t>
          </m:r>
          <m:f>
            <m:fPr>
              <m:ctrlPr>
                <w:rPr>
                  <w:rFonts w:ascii="Cambria Math" w:eastAsia="Times New Roman" w:hAnsi="Cambria Math"/>
                  <w:kern w:val="0"/>
                  <w:sz w:val="28"/>
                  <w:szCs w:val="28"/>
                  <w:lang w:eastAsia="pt-BR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8"/>
                      <w:szCs w:val="28"/>
                      <w:lang w:eastAsia="pt-BR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8"/>
                      <w:szCs w:val="28"/>
                      <w:lang w:eastAsia="pt-BR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 w:val="28"/>
                      <w:szCs w:val="28"/>
                      <w:lang w:eastAsia="pt-BR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sz w:val="28"/>
                  <w:szCs w:val="28"/>
                  <w:lang w:eastAsia="pt-BR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8"/>
                      <w:szCs w:val="28"/>
                      <w:lang w:eastAsia="pt-BR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8"/>
                      <w:szCs w:val="28"/>
                      <w:lang w:eastAsia="pt-BR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 w:val="28"/>
                      <w:szCs w:val="28"/>
                      <w:lang w:eastAsia="pt-BR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 w:val="28"/>
                      <w:szCs w:val="28"/>
                      <w:lang w:eastAsia="pt-B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/>
                      <w:kern w:val="0"/>
                      <w:sz w:val="28"/>
                      <w:szCs w:val="28"/>
                      <w:lang w:eastAsia="pt-BR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/>
                      <w:kern w:val="0"/>
                      <w:sz w:val="28"/>
                      <w:szCs w:val="28"/>
                      <w:lang w:eastAsia="pt-BR"/>
                    </w:rPr>
                    <m:t>a</m:t>
                  </m:r>
                </m:sub>
              </m:sSub>
            </m:den>
          </m:f>
        </m:oMath>
      </m:oMathPara>
    </w:p>
    <w:p w14:paraId="61612E54" w14:textId="602B4F2C" w:rsidR="00024342" w:rsidRPr="00024342" w:rsidRDefault="00024342" w:rsidP="00024342">
      <w:pPr>
        <w:spacing w:before="100" w:beforeAutospacing="1" w:after="100" w:afterAutospacing="1" w:line="360" w:lineRule="auto"/>
        <w:ind w:firstLine="708"/>
        <w:jc w:val="both"/>
        <w:rPr>
          <w:rFonts w:eastAsia="Times New Roman"/>
          <w:kern w:val="0"/>
          <w:lang w:eastAsia="pt-BR"/>
        </w:rPr>
      </w:pPr>
      <w:r w:rsidRPr="00024342">
        <w:rPr>
          <w:rFonts w:eastAsia="Times New Roman"/>
          <w:kern w:val="0"/>
          <w:lang w:eastAsia="pt-BR"/>
        </w:rPr>
        <w:t xml:space="preserve">Onde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8"/>
                <w:szCs w:val="28"/>
                <w:lang w:eastAsia="pt-BR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V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t</m:t>
            </m:r>
          </m:sub>
        </m:sSub>
      </m:oMath>
      <w:r w:rsidRPr="00024342">
        <w:rPr>
          <w:rFonts w:eastAsia="Times New Roman"/>
          <w:kern w:val="0"/>
          <w:lang w:eastAsia="pt-BR"/>
        </w:rPr>
        <w:t xml:space="preserve"> é a tensão aplicada aos terminais,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8"/>
                <w:szCs w:val="28"/>
                <w:lang w:eastAsia="pt-BR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E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a</m:t>
            </m:r>
          </m:sub>
        </m:sSub>
      </m:oMath>
      <w:r w:rsidRPr="00024342">
        <w:rPr>
          <w:rFonts w:eastAsia="Times New Roman"/>
          <w:kern w:val="0"/>
          <w:lang w:eastAsia="pt-BR"/>
        </w:rPr>
        <w:t xml:space="preserve">​ é a força </w:t>
      </w:r>
      <w:proofErr w:type="spellStart"/>
      <w:r w:rsidRPr="00024342">
        <w:rPr>
          <w:rFonts w:eastAsia="Times New Roman"/>
          <w:kern w:val="0"/>
          <w:lang w:eastAsia="pt-BR"/>
        </w:rPr>
        <w:t>contra-eletromotriz</w:t>
      </w:r>
      <w:proofErr w:type="spellEnd"/>
      <w:r w:rsidRPr="00024342">
        <w:rPr>
          <w:rFonts w:eastAsia="Times New Roman"/>
          <w:kern w:val="0"/>
          <w:lang w:eastAsia="pt-BR"/>
        </w:rPr>
        <w:t xml:space="preserve"> (FCEM) e Ra​ é a resistência interna da armadura. A FCEM é diretamente proporcional à velocidade de rotação do eixo do motor. No exato instante do arranque (inércia total, onde a velocidade é igual a zero), a FCEM </w:t>
      </w:r>
      <m:oMath>
        <m:r>
          <w:rPr>
            <w:rFonts w:ascii="Cambria Math" w:eastAsia="Times New Roman" w:hAnsi="Cambria Math"/>
            <w:kern w:val="0"/>
            <w:sz w:val="28"/>
            <w:szCs w:val="28"/>
            <w:lang w:eastAsia="pt-BR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kern w:val="0"/>
                <w:sz w:val="28"/>
                <w:szCs w:val="28"/>
                <w:lang w:eastAsia="pt-BR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E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  <m:t>a</m:t>
            </m:r>
          </m:sub>
        </m:sSub>
        <m:r>
          <w:rPr>
            <w:rFonts w:ascii="Cambria Math" w:eastAsia="Times New Roman" w:hAnsi="Cambria Math"/>
            <w:kern w:val="0"/>
            <w:sz w:val="28"/>
            <w:szCs w:val="28"/>
            <w:lang w:eastAsia="pt-BR"/>
          </w:rPr>
          <m:t>)</m:t>
        </m:r>
      </m:oMath>
      <w:r w:rsidRPr="00024342">
        <w:rPr>
          <w:rFonts w:eastAsia="Times New Roman"/>
          <w:kern w:val="0"/>
          <w:lang w:eastAsia="pt-BR"/>
        </w:rPr>
        <w:t xml:space="preserve"> também é nula.</w:t>
      </w:r>
    </w:p>
    <w:p w14:paraId="683B34BD" w14:textId="249BEB32" w:rsidR="00024342" w:rsidRPr="00024342" w:rsidRDefault="00024342" w:rsidP="00024342">
      <w:pPr>
        <w:spacing w:before="100" w:beforeAutospacing="1" w:after="100" w:afterAutospacing="1" w:line="360" w:lineRule="auto"/>
        <w:ind w:firstLine="360"/>
        <w:jc w:val="both"/>
        <w:rPr>
          <w:rFonts w:eastAsia="Times New Roman"/>
          <w:kern w:val="0"/>
          <w:lang w:eastAsia="pt-BR"/>
        </w:rPr>
      </w:pPr>
      <w:r w:rsidRPr="00024342">
        <w:rPr>
          <w:rFonts w:eastAsia="Times New Roman"/>
          <w:kern w:val="0"/>
          <w:lang w:eastAsia="pt-BR"/>
        </w:rPr>
        <w:t xml:space="preserve">Consequentemente, a corrente inicial é limitada unicamente pela resistência da armadura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8"/>
                <w:lang w:eastAsia="pt-BR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/>
                <w:kern w:val="0"/>
                <w:sz w:val="28"/>
                <w:szCs w:val="28"/>
                <w:lang w:eastAsia="pt-BR"/>
              </w:rPr>
              <m:t>(</m:t>
            </m:r>
            <m:r>
              <m:rPr>
                <m:sty m:val="p"/>
              </m:rPr>
              <w:rPr>
                <w:rFonts w:ascii="Cambria Math" w:eastAsia="Times New Roman"/>
                <w:kern w:val="0"/>
                <w:sz w:val="28"/>
                <w:szCs w:val="28"/>
                <w:lang w:eastAsia="pt-BR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/>
                <w:kern w:val="0"/>
                <w:sz w:val="28"/>
                <w:szCs w:val="28"/>
                <w:lang w:eastAsia="pt-BR"/>
              </w:rPr>
              <m:t>a</m:t>
            </m:r>
          </m:sub>
        </m:sSub>
        <m:r>
          <w:rPr>
            <w:rFonts w:ascii="Cambria Math" w:eastAsia="Times New Roman" w:hAnsi="Cambria Math"/>
            <w:kern w:val="0"/>
            <w:sz w:val="28"/>
            <w:szCs w:val="28"/>
            <w:lang w:eastAsia="pt-BR"/>
          </w:rPr>
          <m:t>)</m:t>
        </m:r>
      </m:oMath>
      <w:r w:rsidRPr="00024342">
        <w:rPr>
          <w:rFonts w:eastAsia="Times New Roman"/>
          <w:kern w:val="0"/>
          <w:lang w:eastAsia="pt-BR"/>
        </w:rPr>
        <w:t>, que, por razões de eficiência de construção e mitigação de perdas por efeito de Joule, possui um valor intrinsecamente muito baixo. É por este motivo que, no momento do arranque, para tirar o veículo do seu estado de inércia, a corrente exigida pelo motor atinge picos que podem ser de 5 a 10 vezes superiores à sua corrente nominal de funcionamento [6], decaindo apenas à medida que o motor ganha velocidade e a FCEM começa a opor-se à tensão de alimentação. Baseado neste princípio, estimou-se matematicamente que o pico de corrente transiente do motor poderia atingir a ordem dos 300 A.</w:t>
      </w:r>
    </w:p>
    <w:p w14:paraId="426329E6" w14:textId="77777777" w:rsidR="00971F5F" w:rsidRPr="00971F5F" w:rsidRDefault="00971F5F" w:rsidP="00971F5F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 xml:space="preserve">Devido ao custo proibitivo de sensores de Efeito Hall comerciais capazes de mensurar magnitudes de 300A sem saturar, optou-se pela utilização de um resistor </w:t>
      </w:r>
      <w:r w:rsidRPr="00971F5F">
        <w:rPr>
          <w:rFonts w:ascii="Arial" w:hAnsi="Arial" w:cs="Arial"/>
          <w:i/>
          <w:iCs/>
        </w:rPr>
        <w:t>shunt</w:t>
      </w:r>
      <w:r w:rsidRPr="00971F5F">
        <w:rPr>
          <w:rFonts w:ascii="Arial" w:hAnsi="Arial" w:cs="Arial"/>
        </w:rPr>
        <w:t xml:space="preserve"> (especificação de 300A/75mV). O </w:t>
      </w:r>
      <w:r w:rsidRPr="00971F5F">
        <w:rPr>
          <w:rFonts w:ascii="Arial" w:hAnsi="Arial" w:cs="Arial"/>
          <w:i/>
          <w:iCs/>
        </w:rPr>
        <w:t>shunt</w:t>
      </w:r>
      <w:r w:rsidRPr="00971F5F">
        <w:rPr>
          <w:rFonts w:ascii="Arial" w:hAnsi="Arial" w:cs="Arial"/>
        </w:rPr>
        <w:t xml:space="preserve"> foi posicionado e configurado em </w:t>
      </w:r>
      <w:proofErr w:type="spellStart"/>
      <w:r w:rsidRPr="00971F5F">
        <w:rPr>
          <w:rFonts w:ascii="Arial" w:hAnsi="Arial" w:cs="Arial"/>
          <w:i/>
          <w:iCs/>
        </w:rPr>
        <w:t>low-side</w:t>
      </w:r>
      <w:proofErr w:type="spellEnd"/>
      <w:r w:rsidRPr="00971F5F">
        <w:rPr>
          <w:rFonts w:ascii="Arial" w:hAnsi="Arial" w:cs="Arial"/>
        </w:rPr>
        <w:t xml:space="preserve"> (entre a carga e o referencial de terra/GND do sistema). Esta configuração foi escolhida pois o referenciamento em </w:t>
      </w:r>
      <w:r w:rsidRPr="00971F5F">
        <w:rPr>
          <w:rFonts w:ascii="Arial" w:hAnsi="Arial" w:cs="Arial"/>
          <w:i/>
          <w:iCs/>
        </w:rPr>
        <w:t>high-</w:t>
      </w:r>
      <w:proofErr w:type="spellStart"/>
      <w:r w:rsidRPr="00971F5F">
        <w:rPr>
          <w:rFonts w:ascii="Arial" w:hAnsi="Arial" w:cs="Arial"/>
          <w:i/>
          <w:iCs/>
        </w:rPr>
        <w:t>side</w:t>
      </w:r>
      <w:proofErr w:type="spellEnd"/>
      <w:r w:rsidRPr="00971F5F">
        <w:rPr>
          <w:rFonts w:ascii="Arial" w:hAnsi="Arial" w:cs="Arial"/>
        </w:rPr>
        <w:t xml:space="preserve"> exigiria que o amplificador operacional lidasse com uma tensão de modo comum muito elevada em suas entradas, o que danificaria o componente.</w:t>
      </w:r>
    </w:p>
    <w:p w14:paraId="714B4454" w14:textId="77777777" w:rsidR="00BD49DF" w:rsidRDefault="00BD49DF" w:rsidP="00BD49DF">
      <w:pPr>
        <w:pStyle w:val="SemEspaamento"/>
        <w:ind w:firstLine="0"/>
      </w:pPr>
    </w:p>
    <w:p w14:paraId="6F893A4E" w14:textId="77777777" w:rsidR="002052DE" w:rsidRPr="002052DE" w:rsidRDefault="002052DE" w:rsidP="002052DE">
      <w:pPr>
        <w:pStyle w:val="Ttulo2"/>
      </w:pPr>
      <w:r>
        <w:t xml:space="preserve"> </w:t>
      </w:r>
      <w:bookmarkStart w:id="34" w:name="_Toc224942098"/>
      <w:r w:rsidRPr="002052DE">
        <w:t>Condicionamento do Sinal de Corrente</w:t>
      </w:r>
      <w:bookmarkEnd w:id="34"/>
    </w:p>
    <w:p w14:paraId="7E8EC2D6" w14:textId="30C6593A" w:rsidR="00971F5F" w:rsidRDefault="00971F5F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71F5F">
        <w:rPr>
          <w:rFonts w:ascii="Arial" w:hAnsi="Arial" w:cs="Arial"/>
        </w:rPr>
        <w:t xml:space="preserve">O </w:t>
      </w:r>
      <w:r w:rsidRPr="00971F5F">
        <w:rPr>
          <w:rFonts w:ascii="Arial" w:hAnsi="Arial" w:cs="Arial"/>
          <w:i/>
          <w:iCs/>
        </w:rPr>
        <w:t>shunt</w:t>
      </w:r>
      <w:r w:rsidRPr="00971F5F">
        <w:rPr>
          <w:rFonts w:ascii="Arial" w:hAnsi="Arial" w:cs="Arial"/>
        </w:rPr>
        <w:t xml:space="preserve"> selecionado gera uma diferença de potencial máxima de 75mV quando submetido a 300A (resistência interna teórica de </w:t>
      </w:r>
      <w:r w:rsidRPr="00971F5F">
        <w:rPr>
          <w:rStyle w:val="mord"/>
          <w:rFonts w:ascii="Arial" w:hAnsi="Arial" w:cs="Arial"/>
        </w:rPr>
        <w:t>0</w:t>
      </w:r>
      <w:r w:rsidRPr="00971F5F">
        <w:rPr>
          <w:rStyle w:val="mpunct"/>
          <w:rFonts w:ascii="Arial" w:hAnsi="Arial" w:cs="Arial"/>
        </w:rPr>
        <w:t>,</w:t>
      </w:r>
      <w:r w:rsidRPr="00971F5F">
        <w:rPr>
          <w:rStyle w:val="mord"/>
          <w:rFonts w:ascii="Arial" w:hAnsi="Arial" w:cs="Arial"/>
        </w:rPr>
        <w:t>25mΩ</w:t>
      </w:r>
      <w:r w:rsidRPr="00971F5F">
        <w:rPr>
          <w:rFonts w:ascii="Arial" w:hAnsi="Arial" w:cs="Arial"/>
        </w:rPr>
        <w:t xml:space="preserve">). Para que o ADC do Arduino possa ler esse sinal com boa resolução, essa pequena tensão precisou ser amplificada. Utilizou-se o componente OPA350, um amplificador operacional </w:t>
      </w:r>
      <w:proofErr w:type="spellStart"/>
      <w:r w:rsidRPr="00971F5F">
        <w:rPr>
          <w:rFonts w:ascii="Arial" w:hAnsi="Arial" w:cs="Arial"/>
          <w:i/>
          <w:iCs/>
        </w:rPr>
        <w:t>rail-to-rail</w:t>
      </w:r>
      <w:proofErr w:type="spellEnd"/>
      <w:r w:rsidRPr="00971F5F">
        <w:rPr>
          <w:rFonts w:ascii="Arial" w:hAnsi="Arial" w:cs="Arial"/>
        </w:rPr>
        <w:t xml:space="preserve"> de alimentação assimétrica, configurado como </w:t>
      </w:r>
      <w:r w:rsidRPr="00971F5F">
        <w:rPr>
          <w:rFonts w:ascii="Arial" w:hAnsi="Arial" w:cs="Arial"/>
        </w:rPr>
        <w:lastRenderedPageBreak/>
        <w:t xml:space="preserve">amplificador </w:t>
      </w:r>
      <w:proofErr w:type="spellStart"/>
      <w:r w:rsidRPr="00971F5F">
        <w:rPr>
          <w:rFonts w:ascii="Arial" w:hAnsi="Arial" w:cs="Arial"/>
        </w:rPr>
        <w:t>subtrator</w:t>
      </w:r>
      <w:proofErr w:type="spellEnd"/>
      <w:r w:rsidRPr="00971F5F">
        <w:rPr>
          <w:rFonts w:ascii="Arial" w:hAnsi="Arial" w:cs="Arial"/>
        </w:rPr>
        <w:t xml:space="preserve"> para rejeitar ruídos de modo comum e aplicar o ganho necessário para a escala do microcontrolador</w:t>
      </w:r>
      <w:r w:rsidR="00397422">
        <w:rPr>
          <w:rFonts w:ascii="Arial" w:hAnsi="Arial" w:cs="Arial"/>
        </w:rPr>
        <w:t xml:space="preserve">, para ampliar a tensão de 75mV para aproximadamente 5V, foi usado um ganho de 66 no amplificador operacional que garante que o sinal de 75mV seja ampliado para </w:t>
      </w:r>
      <w:r w:rsidR="00F47F26">
        <w:rPr>
          <w:rFonts w:ascii="Arial" w:hAnsi="Arial" w:cs="Arial"/>
        </w:rPr>
        <w:t xml:space="preserve">aproximadamente </w:t>
      </w:r>
      <w:r w:rsidR="00397422">
        <w:rPr>
          <w:rFonts w:ascii="Arial" w:hAnsi="Arial" w:cs="Arial"/>
        </w:rPr>
        <w:t>4,95V</w:t>
      </w:r>
      <w:r w:rsidRPr="00971F5F">
        <w:rPr>
          <w:rFonts w:ascii="Arial" w:hAnsi="Arial" w:cs="Arial"/>
        </w:rPr>
        <w:t>.</w:t>
      </w:r>
    </w:p>
    <w:p w14:paraId="179BB821" w14:textId="77777777" w:rsidR="00F47F26" w:rsidRDefault="00397422" w:rsidP="00F47F26">
      <w:pPr>
        <w:pStyle w:val="NormalWeb"/>
        <w:keepNext/>
        <w:spacing w:line="360" w:lineRule="auto"/>
        <w:ind w:firstLine="360"/>
        <w:jc w:val="center"/>
      </w:pPr>
      <w:r>
        <w:rPr>
          <w:noProof/>
        </w:rPr>
        <w:drawing>
          <wp:inline distT="0" distB="0" distL="0" distR="0" wp14:anchorId="3A08F751" wp14:editId="34C91D86">
            <wp:extent cx="2381250" cy="1695450"/>
            <wp:effectExtent l="0" t="0" r="0" b="0"/>
            <wp:docPr id="6" name="Imagem 6" descr="Montagem Difere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tagem Diferen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A857" w14:textId="39E9D5F2" w:rsidR="00397422" w:rsidRDefault="00F47F26" w:rsidP="00F47F26">
      <w:pPr>
        <w:pStyle w:val="Legenda"/>
        <w:jc w:val="center"/>
      </w:pPr>
      <w:r>
        <w:t xml:space="preserve">Figura </w:t>
      </w:r>
      <w:fldSimple w:instr=" SEQ Figura \* ARABIC ">
        <w:r w:rsidR="003472D7">
          <w:rPr>
            <w:noProof/>
          </w:rPr>
          <w:t>1</w:t>
        </w:r>
      </w:fldSimple>
      <w:r w:rsidR="003472D7">
        <w:t xml:space="preserve">. Configuração de amplificador operacional </w:t>
      </w:r>
      <w:proofErr w:type="spellStart"/>
      <w:r w:rsidR="003472D7">
        <w:t>subtrator</w:t>
      </w:r>
      <w:proofErr w:type="spellEnd"/>
    </w:p>
    <w:p w14:paraId="77D6AABD" w14:textId="6CB4066F" w:rsidR="00397422" w:rsidRDefault="00397422" w:rsidP="00397422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</w:rPr>
        <w:t xml:space="preserve">, o ganho do amplificador operacional </w:t>
      </w:r>
      <w:proofErr w:type="spellStart"/>
      <w:r>
        <w:rPr>
          <w:rFonts w:ascii="Arial" w:hAnsi="Arial" w:cs="Arial"/>
        </w:rPr>
        <w:t>subtrator</w:t>
      </w:r>
      <w:proofErr w:type="spellEnd"/>
      <w:r>
        <w:rPr>
          <w:rFonts w:ascii="Arial" w:hAnsi="Arial" w:cs="Arial"/>
        </w:rPr>
        <w:t xml:space="preserve"> é dado por:</w:t>
      </w:r>
    </w:p>
    <w:p w14:paraId="1983DFDF" w14:textId="28C56843" w:rsidR="00397422" w:rsidRPr="00397422" w:rsidRDefault="00397422" w:rsidP="00397422">
      <w:pPr>
        <w:pStyle w:val="NormalWeb"/>
        <w:spacing w:line="360" w:lineRule="auto"/>
        <w:jc w:val="center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ampop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Arial" w:hAnsi="Arial" w:cs="Aria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ampop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in</m:t>
              </m:r>
            </m:sub>
          </m:sSub>
        </m:oMath>
      </m:oMathPara>
    </w:p>
    <w:p w14:paraId="5167B913" w14:textId="73301B31" w:rsidR="00397422" w:rsidRPr="00397422" w:rsidRDefault="00397422" w:rsidP="00397422">
      <w:pPr>
        <w:pStyle w:val="NormalWeb"/>
        <w:spacing w:line="360" w:lineRule="auto"/>
        <w:jc w:val="center"/>
        <w:rPr>
          <w:rFonts w:ascii="Arial" w:hAnsi="Arial" w:cs="Arial"/>
        </w:rPr>
      </w:pPr>
    </w:p>
    <w:p w14:paraId="2F8B7348" w14:textId="77777777" w:rsidR="003472D7" w:rsidRDefault="00397422" w:rsidP="003472D7">
      <w:pPr>
        <w:pStyle w:val="SemEspaamento"/>
        <w:keepNext/>
        <w:ind w:firstLine="0"/>
        <w:jc w:val="center"/>
      </w:pPr>
      <w:r w:rsidRPr="00397422">
        <w:drawing>
          <wp:inline distT="0" distB="0" distL="0" distR="0" wp14:anchorId="48906CC5" wp14:editId="2CEB843E">
            <wp:extent cx="5400040" cy="2643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B4BC" w14:textId="52D25670" w:rsidR="00BD49DF" w:rsidRDefault="003472D7" w:rsidP="003472D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. Circuito do medidor de corrente</w:t>
      </w:r>
    </w:p>
    <w:p w14:paraId="722C1E4D" w14:textId="77777777" w:rsidR="003472D7" w:rsidRDefault="003472D7" w:rsidP="00D33AA2">
      <w:pPr>
        <w:pStyle w:val="SemEspaamento"/>
        <w:ind w:firstLine="0"/>
        <w:jc w:val="center"/>
      </w:pPr>
    </w:p>
    <w:p w14:paraId="222B62DF" w14:textId="77777777" w:rsidR="00BD49DF" w:rsidRDefault="00BD49DF" w:rsidP="002052DE">
      <w:pPr>
        <w:pStyle w:val="Ttulo2"/>
      </w:pPr>
      <w:r>
        <w:t xml:space="preserve"> </w:t>
      </w:r>
      <w:bookmarkStart w:id="35" w:name="_Toc224942099"/>
      <w:r w:rsidR="002052DE" w:rsidRPr="002052DE">
        <w:t xml:space="preserve">Medição do Nível </w:t>
      </w:r>
      <w:r w:rsidR="00281309">
        <w:t xml:space="preserve">de Tensão </w:t>
      </w:r>
      <w:r w:rsidR="002052DE" w:rsidRPr="002052DE">
        <w:t>da Bateria</w:t>
      </w:r>
      <w:bookmarkEnd w:id="35"/>
    </w:p>
    <w:p w14:paraId="1CD880E3" w14:textId="69836311" w:rsidR="00D33AA2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>O banco de baterias do veículo é composto por três unidades de 12V associadas em série, resultando em 36V de tensão nominal</w:t>
      </w:r>
      <w:r w:rsidR="003C0FB2">
        <w:rPr>
          <w:rFonts w:ascii="Arial" w:hAnsi="Arial" w:cs="Arial"/>
        </w:rPr>
        <w:t>, atingindo até 43,2V</w:t>
      </w:r>
      <w:r w:rsidRPr="00281309">
        <w:rPr>
          <w:rFonts w:ascii="Arial" w:hAnsi="Arial" w:cs="Arial"/>
        </w:rPr>
        <w:t xml:space="preserve">. O ADC do Arduino, entretanto, suporta tensões apenas na faixa de 0V a 5V. Para proteger o microcontrolador e viabilizar a leitura, projetou-se um circuito divisor de tensão. Utilizando a equação fundamental do divisor resistivo </w:t>
      </w:r>
    </w:p>
    <w:p w14:paraId="6A1FE412" w14:textId="0E1D98C8" w:rsidR="00D33AA2" w:rsidRDefault="00D33AA2" w:rsidP="00D33AA2">
      <w:pPr>
        <w:pStyle w:val="NormalWeb"/>
        <w:spacing w:line="360" w:lineRule="auto"/>
        <w:ind w:firstLine="36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757CBEEE" w14:textId="4B6C2F5B" w:rsidR="00281309" w:rsidRPr="00281309" w:rsidRDefault="00281309" w:rsidP="00D33AA2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os resistores foram dimensionados para atenuar a tensão máxima de </w:t>
      </w:r>
      <w:r w:rsidR="003C0FB2">
        <w:rPr>
          <w:rFonts w:ascii="Arial" w:hAnsi="Arial" w:cs="Arial"/>
        </w:rPr>
        <w:t>43,2</w:t>
      </w:r>
      <w:r w:rsidRPr="00281309">
        <w:rPr>
          <w:rFonts w:ascii="Arial" w:hAnsi="Arial" w:cs="Arial"/>
        </w:rPr>
        <w:t xml:space="preserve">V para </w:t>
      </w:r>
      <w:r w:rsidR="00F47F26">
        <w:rPr>
          <w:rFonts w:ascii="Arial" w:hAnsi="Arial" w:cs="Arial"/>
        </w:rPr>
        <w:t>próximo d</w:t>
      </w:r>
      <w:r w:rsidRPr="00281309">
        <w:rPr>
          <w:rFonts w:ascii="Arial" w:hAnsi="Arial" w:cs="Arial"/>
        </w:rPr>
        <w:t>os 5V seguros.</w:t>
      </w:r>
    </w:p>
    <w:p w14:paraId="4DB599F6" w14:textId="77777777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O sinal atenuado foi então direcionado a um segundo amplificador OPA350 (também configurado como </w:t>
      </w:r>
      <w:proofErr w:type="spellStart"/>
      <w:r w:rsidRPr="00281309">
        <w:rPr>
          <w:rFonts w:ascii="Arial" w:hAnsi="Arial" w:cs="Arial"/>
        </w:rPr>
        <w:t>subtrator</w:t>
      </w:r>
      <w:proofErr w:type="spellEnd"/>
      <w:r w:rsidRPr="00281309">
        <w:rPr>
          <w:rFonts w:ascii="Arial" w:hAnsi="Arial" w:cs="Arial"/>
        </w:rPr>
        <w:t xml:space="preserve">) para o devido referenciamento de terra. Foram incluídos capacitores para filtragem de ruídos de alta frequência e diodos </w:t>
      </w:r>
      <w:proofErr w:type="spellStart"/>
      <w:r w:rsidRPr="00281309">
        <w:rPr>
          <w:rFonts w:ascii="Arial" w:hAnsi="Arial" w:cs="Arial"/>
        </w:rPr>
        <w:t>Zener</w:t>
      </w:r>
      <w:proofErr w:type="spellEnd"/>
      <w:r w:rsidRPr="00281309">
        <w:rPr>
          <w:rFonts w:ascii="Arial" w:hAnsi="Arial" w:cs="Arial"/>
        </w:rPr>
        <w:t xml:space="preserve"> em paralelo com a entrada do ADC, atuando como proteção contra surtos de tensão transientes.</w:t>
      </w:r>
    </w:p>
    <w:p w14:paraId="699EBAD6" w14:textId="2EE1A7AE" w:rsidR="003472D7" w:rsidRDefault="00445AD8" w:rsidP="003472D7">
      <w:pPr>
        <w:pStyle w:val="SemEspaamento"/>
        <w:keepNext/>
        <w:ind w:firstLine="0"/>
        <w:jc w:val="center"/>
      </w:pPr>
      <w:r w:rsidRPr="00445AD8">
        <w:drawing>
          <wp:inline distT="0" distB="0" distL="0" distR="0" wp14:anchorId="21EA89F7" wp14:editId="160982F1">
            <wp:extent cx="5400040" cy="22669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6F7B" w14:textId="7FAB7100" w:rsidR="00BD49DF" w:rsidRDefault="003472D7" w:rsidP="003472D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>. Circuito do medidor de nível de tensão na bateria</w:t>
      </w:r>
    </w:p>
    <w:p w14:paraId="4FA26987" w14:textId="77777777" w:rsidR="003472D7" w:rsidRDefault="003472D7" w:rsidP="003C0FB2">
      <w:pPr>
        <w:pStyle w:val="SemEspaamento"/>
        <w:ind w:firstLine="0"/>
        <w:jc w:val="center"/>
      </w:pPr>
    </w:p>
    <w:p w14:paraId="7989917B" w14:textId="77777777" w:rsidR="00281309" w:rsidRPr="00281309" w:rsidRDefault="00BD49DF" w:rsidP="00281309">
      <w:pPr>
        <w:pStyle w:val="Ttulo2"/>
      </w:pPr>
      <w:r>
        <w:t xml:space="preserve"> </w:t>
      </w:r>
      <w:bookmarkStart w:id="36" w:name="_Toc224942100"/>
      <w:r w:rsidR="002052DE" w:rsidRPr="002052DE">
        <w:t xml:space="preserve">Simulação e </w:t>
      </w:r>
      <w:r w:rsidR="00281309">
        <w:t>Desenvolvimento de Software</w:t>
      </w:r>
      <w:bookmarkEnd w:id="36"/>
    </w:p>
    <w:p w14:paraId="2D9F06AF" w14:textId="40870828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Antes da montagem física, todos os circuitos foram validados e ajustados no software de simulação </w:t>
      </w:r>
      <w:proofErr w:type="spellStart"/>
      <w:r w:rsidRPr="00281309">
        <w:rPr>
          <w:rFonts w:ascii="Arial" w:hAnsi="Arial" w:cs="Arial"/>
        </w:rPr>
        <w:t>LTSpice</w:t>
      </w:r>
      <w:proofErr w:type="spellEnd"/>
      <w:r w:rsidRPr="00281309">
        <w:rPr>
          <w:rFonts w:ascii="Arial" w:hAnsi="Arial" w:cs="Arial"/>
        </w:rPr>
        <w:t xml:space="preserve">. Paralelamente, desenvolveu-se o código </w:t>
      </w:r>
      <w:r w:rsidRPr="00281309">
        <w:rPr>
          <w:rFonts w:ascii="Arial" w:hAnsi="Arial" w:cs="Arial"/>
        </w:rPr>
        <w:lastRenderedPageBreak/>
        <w:t xml:space="preserve">embarcado em C++ </w:t>
      </w:r>
      <w:proofErr w:type="spellStart"/>
      <w:r w:rsidRPr="00281309">
        <w:rPr>
          <w:rFonts w:ascii="Arial" w:hAnsi="Arial" w:cs="Arial"/>
        </w:rPr>
        <w:t>na</w:t>
      </w:r>
      <w:proofErr w:type="spellEnd"/>
      <w:r w:rsidRPr="00281309">
        <w:rPr>
          <w:rFonts w:ascii="Arial" w:hAnsi="Arial" w:cs="Arial"/>
        </w:rPr>
        <w:t xml:space="preserve"> IDE do Arduino. A lógica implementada realiza a leitura analógica dos pinos (valores de 0 a 1023), aplica os fatores de conversão matemáticos inversos referentes ao divisor de tensão e ao ganho do amplificador, e converte os valores digitais para as grandezas reais de Tensão (V)</w:t>
      </w:r>
      <w:r w:rsidR="00AF3F96">
        <w:rPr>
          <w:rFonts w:ascii="Arial" w:hAnsi="Arial" w:cs="Arial"/>
        </w:rPr>
        <w:t>,</w:t>
      </w:r>
      <w:r w:rsidRPr="00281309">
        <w:rPr>
          <w:rFonts w:ascii="Arial" w:hAnsi="Arial" w:cs="Arial"/>
        </w:rPr>
        <w:t xml:space="preserve"> Corrente (A)</w:t>
      </w:r>
      <w:r w:rsidR="00AF3F96">
        <w:rPr>
          <w:rFonts w:ascii="Arial" w:hAnsi="Arial" w:cs="Arial"/>
        </w:rPr>
        <w:t xml:space="preserve"> e calcula a Potência entregue (W)</w:t>
      </w:r>
      <w:r w:rsidRPr="00281309">
        <w:rPr>
          <w:rFonts w:ascii="Arial" w:hAnsi="Arial" w:cs="Arial"/>
        </w:rPr>
        <w:t>.</w:t>
      </w:r>
    </w:p>
    <w:p w14:paraId="7FCBCA46" w14:textId="77777777" w:rsidR="003472D7" w:rsidRDefault="003C0FB2" w:rsidP="003472D7">
      <w:pPr>
        <w:pStyle w:val="SemEspaamento"/>
        <w:keepNext/>
        <w:ind w:firstLine="360"/>
        <w:jc w:val="center"/>
      </w:pPr>
      <w:r>
        <w:rPr>
          <w:rFonts w:eastAsia="Times New Roman"/>
          <w:i/>
          <w:iCs/>
          <w:noProof/>
          <w:kern w:val="0"/>
          <w:lang w:eastAsia="pt-BR"/>
        </w:rPr>
        <w:drawing>
          <wp:inline distT="0" distB="0" distL="0" distR="0" wp14:anchorId="2AE3FE08" wp14:editId="79D982AE">
            <wp:extent cx="5391150" cy="2819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FA0B" w14:textId="323CB52B" w:rsidR="00BD49DF" w:rsidRDefault="003472D7" w:rsidP="003472D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>. Fluxograma do código implementado no Arduíno</w:t>
      </w:r>
    </w:p>
    <w:p w14:paraId="02CE75A8" w14:textId="77777777" w:rsidR="00BD49DF" w:rsidRDefault="00BD49DF" w:rsidP="00BD49DF">
      <w:pPr>
        <w:rPr>
          <w:rFonts w:eastAsiaTheme="majorEastAsia"/>
          <w:b/>
          <w:bCs/>
          <w:sz w:val="28"/>
          <w:szCs w:val="28"/>
        </w:rPr>
      </w:pPr>
      <w:r>
        <w:br w:type="page"/>
      </w:r>
    </w:p>
    <w:p w14:paraId="458452AC" w14:textId="77777777" w:rsidR="00BD49DF" w:rsidRPr="00AE398E" w:rsidRDefault="00032473" w:rsidP="00032473">
      <w:pPr>
        <w:pStyle w:val="Ttulo1"/>
        <w:numPr>
          <w:ilvl w:val="0"/>
          <w:numId w:val="1"/>
        </w:numPr>
      </w:pPr>
      <w:bookmarkStart w:id="37" w:name="_Toc224942101"/>
      <w:r>
        <w:lastRenderedPageBreak/>
        <w:t>Resultados e Discussões</w:t>
      </w:r>
      <w:bookmarkEnd w:id="37"/>
    </w:p>
    <w:p w14:paraId="00646383" w14:textId="23B05B64" w:rsid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As simulações computacionais no </w:t>
      </w:r>
      <w:proofErr w:type="spellStart"/>
      <w:r w:rsidRPr="00281309">
        <w:rPr>
          <w:rFonts w:ascii="Arial" w:hAnsi="Arial" w:cs="Arial"/>
        </w:rPr>
        <w:t>LTSpice</w:t>
      </w:r>
      <w:proofErr w:type="spellEnd"/>
      <w:r w:rsidRPr="00281309">
        <w:rPr>
          <w:rFonts w:ascii="Arial" w:hAnsi="Arial" w:cs="Arial"/>
        </w:rPr>
        <w:t xml:space="preserve"> apresentaram resultados plenamente consistentes. Observou-se que as topologias propostas funcionavam corretamente na teoria: o ganho sobre os 75mV do </w:t>
      </w:r>
      <w:r w:rsidRPr="00281309">
        <w:rPr>
          <w:rFonts w:ascii="Arial" w:hAnsi="Arial" w:cs="Arial"/>
          <w:i/>
          <w:iCs/>
        </w:rPr>
        <w:t>shunt</w:t>
      </w:r>
      <w:r w:rsidRPr="00281309">
        <w:rPr>
          <w:rFonts w:ascii="Arial" w:hAnsi="Arial" w:cs="Arial"/>
        </w:rPr>
        <w:t xml:space="preserve"> e a atenuação dos </w:t>
      </w:r>
      <w:r w:rsidR="00AF3F96">
        <w:rPr>
          <w:rFonts w:ascii="Arial" w:hAnsi="Arial" w:cs="Arial"/>
        </w:rPr>
        <w:t>43,2</w:t>
      </w:r>
      <w:r w:rsidRPr="00281309">
        <w:rPr>
          <w:rFonts w:ascii="Arial" w:hAnsi="Arial" w:cs="Arial"/>
        </w:rPr>
        <w:t>V da bateria geraram saídas lineares e restritas à faixa segura de 0V a 5V exigida pelo Arduino.</w:t>
      </w:r>
    </w:p>
    <w:p w14:paraId="7EAD151C" w14:textId="29328C65" w:rsidR="003472D7" w:rsidRDefault="00445AD8" w:rsidP="003472D7">
      <w:pPr>
        <w:pStyle w:val="NormalWeb"/>
        <w:keepNext/>
        <w:spacing w:line="360" w:lineRule="auto"/>
        <w:jc w:val="center"/>
      </w:pPr>
      <w:r w:rsidRPr="00445AD8">
        <w:drawing>
          <wp:inline distT="0" distB="0" distL="0" distR="0" wp14:anchorId="1340BF35" wp14:editId="44077329">
            <wp:extent cx="5400040" cy="28079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E3F8" w14:textId="5127A42C" w:rsidR="00F47F26" w:rsidRDefault="003472D7" w:rsidP="003472D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>. Medidores de nível de tensão da bateria e corrente</w:t>
      </w:r>
    </w:p>
    <w:p w14:paraId="26A3F5F1" w14:textId="4FD636D6" w:rsidR="003472D7" w:rsidRDefault="003472D7" w:rsidP="003472D7">
      <w:pPr>
        <w:pStyle w:val="NormalWeb"/>
        <w:keepNext/>
        <w:spacing w:line="360" w:lineRule="auto"/>
        <w:jc w:val="center"/>
      </w:pPr>
      <w:r w:rsidRPr="003472D7">
        <w:lastRenderedPageBreak/>
        <w:drawing>
          <wp:inline distT="0" distB="0" distL="0" distR="0" wp14:anchorId="680287B5" wp14:editId="4B083749">
            <wp:extent cx="5400040" cy="75399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A8A" w14:textId="411E0ED2" w:rsidR="00F47F26" w:rsidRPr="00281309" w:rsidRDefault="003472D7" w:rsidP="003472D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>. Corrente no resistor shunt, tensão na bateria, tensão na saída do medidor de nível de tensão da bateria e tensão na saída do medidor de corrente.</w:t>
      </w:r>
    </w:p>
    <w:p w14:paraId="264A4699" w14:textId="5294FC86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Contudo, a transição para o protótipo físico revelou desafios. Durante os testes iniciais no veículo (conduzidos com o motor de esterçamento da </w:t>
      </w:r>
      <w:r w:rsidRPr="00281309">
        <w:rPr>
          <w:rFonts w:ascii="Arial" w:hAnsi="Arial" w:cs="Arial"/>
        </w:rPr>
        <w:lastRenderedPageBreak/>
        <w:t xml:space="preserve">direção), o sistema apresentou comportamento não linear e ruidoso. O microcontrolador registrou leituras </w:t>
      </w:r>
      <w:r w:rsidR="00AF3F96">
        <w:rPr>
          <w:rFonts w:ascii="Arial" w:hAnsi="Arial" w:cs="Arial"/>
        </w:rPr>
        <w:t>ultrapassando</w:t>
      </w:r>
      <w:r w:rsidRPr="00281309">
        <w:rPr>
          <w:rFonts w:ascii="Arial" w:hAnsi="Arial" w:cs="Arial"/>
        </w:rPr>
        <w:t xml:space="preserve"> o limite do ADC (constantes marcações acima de 1023) e alta instabilidade de sinal.</w:t>
      </w:r>
    </w:p>
    <w:p w14:paraId="0A83234B" w14:textId="77777777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>Para diagnosticar o problema, realizou-se o isolamento do circuito em bancada de testes utilizando uma fonte de alimentação simétrica e um osciloscópio digital. Constatou-se que a saída do amplificador operacional OPA350 estava saturando imediatamente em sua tensão de alimentação (5V), independentemente do sinal diferencial que era aplicado nas suas entradas.</w:t>
      </w:r>
    </w:p>
    <w:p w14:paraId="63EDAF96" w14:textId="77777777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 xml:space="preserve">A suspeita técnica primária foi a queima ou dano físico aos </w:t>
      </w:r>
      <w:proofErr w:type="spellStart"/>
      <w:r w:rsidRPr="00281309">
        <w:rPr>
          <w:rFonts w:ascii="Arial" w:hAnsi="Arial" w:cs="Arial"/>
        </w:rPr>
        <w:t>CIs</w:t>
      </w:r>
      <w:proofErr w:type="spellEnd"/>
      <w:r w:rsidRPr="00281309">
        <w:rPr>
          <w:rFonts w:ascii="Arial" w:hAnsi="Arial" w:cs="Arial"/>
        </w:rPr>
        <w:t xml:space="preserve"> OPA350. Para validar essa hipótese, os chips foram testados individualmente na configuração de circuito </w:t>
      </w:r>
      <w:r w:rsidRPr="00281309">
        <w:rPr>
          <w:rFonts w:ascii="Arial" w:hAnsi="Arial" w:cs="Arial"/>
          <w:i/>
          <w:iCs/>
        </w:rPr>
        <w:t>buffer</w:t>
      </w:r>
      <w:r w:rsidRPr="00281309">
        <w:rPr>
          <w:rFonts w:ascii="Arial" w:hAnsi="Arial" w:cs="Arial"/>
        </w:rPr>
        <w:t>. Os testes confirmaram que os amplificadores operacionais estavam perfeitamente íntegros e funcionais.</w:t>
      </w:r>
    </w:p>
    <w:p w14:paraId="3076084D" w14:textId="77777777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>A principal discussão gerada a partir destes resultados é a forte interferência de ruídos elétricos gerados pelos motores e a falta de isolação galvânica adequada no circuito projetado, o que leva à saturação dos amplificadores operacionais quando instalados no ambiente ruidoso de aterramento do veículo.</w:t>
      </w:r>
    </w:p>
    <w:p w14:paraId="3B2940A6" w14:textId="77777777" w:rsidR="00032473" w:rsidRDefault="00032473" w:rsidP="00032473">
      <w:pPr>
        <w:pStyle w:val="NormalWeb"/>
        <w:spacing w:line="360" w:lineRule="auto"/>
        <w:jc w:val="both"/>
        <w:rPr>
          <w:rFonts w:ascii="Arial" w:eastAsiaTheme="minorHAnsi" w:hAnsi="Arial" w:cs="Arial"/>
          <w:kern w:val="2"/>
          <w:lang w:eastAsia="en-US"/>
        </w:rPr>
      </w:pPr>
    </w:p>
    <w:p w14:paraId="38A1EF81" w14:textId="77777777" w:rsidR="00032473" w:rsidRPr="00AE398E" w:rsidRDefault="00032473" w:rsidP="00032473">
      <w:pPr>
        <w:pStyle w:val="Ttulo1"/>
        <w:numPr>
          <w:ilvl w:val="0"/>
          <w:numId w:val="1"/>
        </w:numPr>
      </w:pPr>
      <w:bookmarkStart w:id="38" w:name="_Toc224942102"/>
      <w:r>
        <w:t>Conclusão e Trabalhos Futuros</w:t>
      </w:r>
      <w:bookmarkEnd w:id="38"/>
    </w:p>
    <w:p w14:paraId="376E017A" w14:textId="77777777" w:rsidR="00281309" w:rsidRPr="00281309" w:rsidRDefault="00281309" w:rsidP="00281309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281309">
        <w:rPr>
          <w:rFonts w:ascii="Arial" w:hAnsi="Arial" w:cs="Arial"/>
        </w:rPr>
        <w:t>O período coberto por este projeto PIVIC cumpriu seu papel científico essencial ao estruturar a base inicial do hardware de medição energética da plataforma VIDA. O trabalho permitiu definir a arquitetura correta de sensores (</w:t>
      </w:r>
      <w:r w:rsidRPr="00281309">
        <w:rPr>
          <w:rFonts w:ascii="Arial" w:hAnsi="Arial" w:cs="Arial"/>
          <w:i/>
          <w:iCs/>
        </w:rPr>
        <w:t>shunt</w:t>
      </w:r>
      <w:r w:rsidRPr="00281309">
        <w:rPr>
          <w:rFonts w:ascii="Arial" w:hAnsi="Arial" w:cs="Arial"/>
        </w:rPr>
        <w:t xml:space="preserve"> em </w:t>
      </w:r>
      <w:proofErr w:type="spellStart"/>
      <w:r w:rsidRPr="00281309">
        <w:rPr>
          <w:rFonts w:ascii="Arial" w:hAnsi="Arial" w:cs="Arial"/>
          <w:i/>
          <w:iCs/>
        </w:rPr>
        <w:t>low-side</w:t>
      </w:r>
      <w:proofErr w:type="spellEnd"/>
      <w:r w:rsidRPr="00281309">
        <w:rPr>
          <w:rFonts w:ascii="Arial" w:hAnsi="Arial" w:cs="Arial"/>
        </w:rPr>
        <w:t>) e validar equações em ambiente de simulação. Acima de tudo, os testes práticos serviram para identificar desafios críticos na instrumentação automotiva, provando empiricamente a necessidade de se tratar a interferência eletromagnética em veículos elétricos.</w:t>
      </w:r>
    </w:p>
    <w:p w14:paraId="10EE8988" w14:textId="49A2220D" w:rsidR="00032473" w:rsidRPr="00032473" w:rsidRDefault="00AF3F96" w:rsidP="00AF3F96">
      <w:pPr>
        <w:pStyle w:val="NormalWeb"/>
        <w:spacing w:line="360" w:lineRule="auto"/>
        <w:ind w:firstLine="360"/>
        <w:jc w:val="both"/>
        <w:rPr>
          <w:rFonts w:ascii="Arial" w:eastAsiaTheme="minorHAnsi" w:hAnsi="Arial" w:cs="Arial"/>
          <w:kern w:val="2"/>
          <w:lang w:eastAsia="en-US"/>
        </w:rPr>
      </w:pPr>
      <w:r w:rsidRPr="00AF3F96">
        <w:rPr>
          <w:rFonts w:ascii="Arial" w:hAnsi="Arial" w:cs="Arial"/>
        </w:rPr>
        <w:t xml:space="preserve">Como o escopo da pesquisa foi aprovado para continuidade através do edital remunerado PIBIC/FAPEMIG, os trabalhos futuros (com início imediato após o encerramento deste ciclo em 28/02/2026) aproveitarão as lições </w:t>
      </w:r>
      <w:r w:rsidRPr="00AF3F96">
        <w:rPr>
          <w:rFonts w:ascii="Arial" w:hAnsi="Arial" w:cs="Arial"/>
        </w:rPr>
        <w:lastRenderedPageBreak/>
        <w:t>aprendidas. A nova abordagem manterá a utilização do shunt de 300A, mas substituirá os amplificadores operacionais pelo circuito integrado INA226, um monitor dedicado de tensão e corrente de alta precisão. Para garantir a isolação galvânica completa entre a etapa de potência e o microcontrolador — solucionando os problemas de saturação e ruído de terra identificados —, será empregado um isolador digital nas linhas de comunicação (barramento I2C) do sensor. Essa evolução arquitetônica trará a robustez e a estabilidade de sinal necessárias para a estimação precisa do consumo energético do veículo.</w:t>
      </w:r>
    </w:p>
    <w:p w14:paraId="2A1EF382" w14:textId="77777777" w:rsidR="00032473" w:rsidRPr="00032473" w:rsidRDefault="00032473" w:rsidP="00032473">
      <w:pPr>
        <w:pStyle w:val="NormalWeb"/>
        <w:spacing w:line="360" w:lineRule="auto"/>
        <w:jc w:val="both"/>
        <w:rPr>
          <w:rFonts w:ascii="Arial" w:eastAsiaTheme="minorHAnsi" w:hAnsi="Arial" w:cs="Arial"/>
          <w:kern w:val="2"/>
          <w:lang w:eastAsia="en-US"/>
        </w:rPr>
      </w:pPr>
    </w:p>
    <w:p w14:paraId="0070988C" w14:textId="77777777" w:rsidR="00BD49DF" w:rsidRDefault="00BD49DF" w:rsidP="00BD49DF">
      <w:pPr>
        <w:pStyle w:val="SemEspaamento"/>
        <w:ind w:firstLine="0"/>
        <w:rPr>
          <w:rFonts w:eastAsiaTheme="majorEastAsia"/>
          <w:sz w:val="28"/>
          <w:szCs w:val="28"/>
        </w:rPr>
      </w:pPr>
    </w:p>
    <w:p w14:paraId="7A98EFEC" w14:textId="77777777" w:rsidR="00BD49DF" w:rsidRDefault="00BD49DF" w:rsidP="00BD49DF">
      <w:p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5839325C" w14:textId="77777777" w:rsidR="00BD49DF" w:rsidRDefault="00BD49DF" w:rsidP="00281309">
      <w:pPr>
        <w:pStyle w:val="Ttulo1"/>
        <w:numPr>
          <w:ilvl w:val="0"/>
          <w:numId w:val="1"/>
        </w:numPr>
      </w:pPr>
      <w:bookmarkStart w:id="39" w:name="_Toc224942103"/>
      <w:r w:rsidRPr="00232679">
        <w:lastRenderedPageBreak/>
        <w:t>Referências</w:t>
      </w:r>
      <w:bookmarkEnd w:id="39"/>
    </w:p>
    <w:p w14:paraId="254DE1F1" w14:textId="77777777" w:rsidR="00281309" w:rsidRPr="00281309" w:rsidRDefault="00281309" w:rsidP="00281309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  <w:bCs/>
        </w:rPr>
        <w:t>[1]</w:t>
      </w:r>
      <w:r w:rsidRPr="00281309">
        <w:rPr>
          <w:rFonts w:ascii="Arial" w:hAnsi="Arial" w:cs="Arial"/>
        </w:rPr>
        <w:t xml:space="preserve"> CARVALHO, Carlos Henrique Ribeiro de; GUEDES, </w:t>
      </w:r>
      <w:proofErr w:type="spellStart"/>
      <w:r w:rsidRPr="00281309">
        <w:rPr>
          <w:rFonts w:ascii="Arial" w:hAnsi="Arial" w:cs="Arial"/>
        </w:rPr>
        <w:t>Erivelton</w:t>
      </w:r>
      <w:proofErr w:type="spellEnd"/>
      <w:r w:rsidRPr="00281309">
        <w:rPr>
          <w:rFonts w:ascii="Arial" w:hAnsi="Arial" w:cs="Arial"/>
        </w:rPr>
        <w:t xml:space="preserve"> Pires. Balanço da primeira década de ação pela segurança no trânsito no Brasil e perspectivas para a segunda década. Brasília, DF: Ipea, nov. 2023. (</w:t>
      </w:r>
      <w:proofErr w:type="spellStart"/>
      <w:r w:rsidRPr="00281309">
        <w:rPr>
          <w:rFonts w:ascii="Arial" w:hAnsi="Arial" w:cs="Arial"/>
        </w:rPr>
        <w:t>Dirur</w:t>
      </w:r>
      <w:proofErr w:type="spellEnd"/>
      <w:r w:rsidRPr="00281309">
        <w:rPr>
          <w:rFonts w:ascii="Arial" w:hAnsi="Arial" w:cs="Arial"/>
        </w:rPr>
        <w:t>: Nota Técnica, 42).</w:t>
      </w:r>
    </w:p>
    <w:p w14:paraId="37E1B152" w14:textId="77777777" w:rsidR="00281309" w:rsidRPr="00281309" w:rsidRDefault="00281309" w:rsidP="00281309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  <w:bCs/>
        </w:rPr>
        <w:t>[2]</w:t>
      </w:r>
      <w:r w:rsidRPr="00281309">
        <w:rPr>
          <w:rFonts w:ascii="Arial" w:hAnsi="Arial" w:cs="Arial"/>
        </w:rPr>
        <w:t xml:space="preserve"> NATIONAL HIGHWAY TRAFFIC SAFETY ADMINISTRATION. </w:t>
      </w:r>
      <w:proofErr w:type="spellStart"/>
      <w:r w:rsidRPr="00281309">
        <w:rPr>
          <w:rFonts w:ascii="Arial" w:hAnsi="Arial" w:cs="Arial"/>
        </w:rPr>
        <w:t>Automated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Vehicles</w:t>
      </w:r>
      <w:proofErr w:type="spellEnd"/>
      <w:r w:rsidRPr="00281309">
        <w:rPr>
          <w:rFonts w:ascii="Arial" w:hAnsi="Arial" w:cs="Arial"/>
        </w:rPr>
        <w:t xml:space="preserve"> for </w:t>
      </w:r>
      <w:proofErr w:type="spellStart"/>
      <w:r w:rsidRPr="00281309">
        <w:rPr>
          <w:rFonts w:ascii="Arial" w:hAnsi="Arial" w:cs="Arial"/>
        </w:rPr>
        <w:t>Safety</w:t>
      </w:r>
      <w:proofErr w:type="spellEnd"/>
      <w:r w:rsidRPr="00281309">
        <w:rPr>
          <w:rFonts w:ascii="Arial" w:hAnsi="Arial" w:cs="Arial"/>
        </w:rPr>
        <w:t xml:space="preserve">. Disponível em: </w:t>
      </w:r>
      <w:hyperlink r:id="rId14" w:tgtFrame="_blank" w:history="1">
        <w:r w:rsidRPr="00281309">
          <w:rPr>
            <w:rStyle w:val="Hyperlink"/>
            <w:rFonts w:ascii="Arial" w:hAnsi="Arial" w:cs="Arial"/>
          </w:rPr>
          <w:t>https://www.nhtsa.gov/vehicle-safety/automated-vehicles-safety</w:t>
        </w:r>
      </w:hyperlink>
      <w:r w:rsidRPr="00281309">
        <w:rPr>
          <w:rFonts w:ascii="Arial" w:hAnsi="Arial" w:cs="Arial"/>
        </w:rPr>
        <w:t>.</w:t>
      </w:r>
    </w:p>
    <w:p w14:paraId="685C574D" w14:textId="77777777" w:rsidR="00281309" w:rsidRPr="00281309" w:rsidRDefault="00281309" w:rsidP="00281309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  <w:bCs/>
        </w:rPr>
        <w:t>[3]</w:t>
      </w:r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Garg</w:t>
      </w:r>
      <w:proofErr w:type="spellEnd"/>
      <w:r w:rsidRPr="00281309">
        <w:rPr>
          <w:rFonts w:ascii="Arial" w:hAnsi="Arial" w:cs="Arial"/>
        </w:rPr>
        <w:t xml:space="preserve">, P.; </w:t>
      </w:r>
      <w:proofErr w:type="spellStart"/>
      <w:r w:rsidRPr="00281309">
        <w:rPr>
          <w:rFonts w:ascii="Arial" w:hAnsi="Arial" w:cs="Arial"/>
        </w:rPr>
        <w:t>Bansal</w:t>
      </w:r>
      <w:proofErr w:type="spellEnd"/>
      <w:r w:rsidRPr="00281309">
        <w:rPr>
          <w:rFonts w:ascii="Arial" w:hAnsi="Arial" w:cs="Arial"/>
        </w:rPr>
        <w:t xml:space="preserve">, D.; Khan, S.; </w:t>
      </w:r>
      <w:proofErr w:type="spellStart"/>
      <w:r w:rsidRPr="00281309">
        <w:rPr>
          <w:rFonts w:ascii="Arial" w:hAnsi="Arial" w:cs="Arial"/>
        </w:rPr>
        <w:t>Bhattacharya</w:t>
      </w:r>
      <w:proofErr w:type="spellEnd"/>
      <w:r w:rsidRPr="00281309">
        <w:rPr>
          <w:rFonts w:ascii="Arial" w:hAnsi="Arial" w:cs="Arial"/>
        </w:rPr>
        <w:t>, S. (2022). “</w:t>
      </w:r>
      <w:proofErr w:type="spellStart"/>
      <w:r w:rsidRPr="00281309">
        <w:rPr>
          <w:rFonts w:ascii="Arial" w:hAnsi="Arial" w:cs="Arial"/>
        </w:rPr>
        <w:t>Development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of</w:t>
      </w:r>
      <w:proofErr w:type="spellEnd"/>
      <w:r w:rsidRPr="00281309">
        <w:rPr>
          <w:rFonts w:ascii="Arial" w:hAnsi="Arial" w:cs="Arial"/>
        </w:rPr>
        <w:t xml:space="preserve"> Energy </w:t>
      </w:r>
      <w:proofErr w:type="spellStart"/>
      <w:r w:rsidRPr="00281309">
        <w:rPr>
          <w:rFonts w:ascii="Arial" w:hAnsi="Arial" w:cs="Arial"/>
        </w:rPr>
        <w:t>Measurement</w:t>
      </w:r>
      <w:proofErr w:type="spellEnd"/>
      <w:r w:rsidRPr="00281309">
        <w:rPr>
          <w:rFonts w:ascii="Arial" w:hAnsi="Arial" w:cs="Arial"/>
        </w:rPr>
        <w:t xml:space="preserve"> System for </w:t>
      </w:r>
      <w:proofErr w:type="spellStart"/>
      <w:r w:rsidRPr="00281309">
        <w:rPr>
          <w:rFonts w:ascii="Arial" w:hAnsi="Arial" w:cs="Arial"/>
        </w:rPr>
        <w:t>Electrical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Vehicle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Battery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Using</w:t>
      </w:r>
      <w:proofErr w:type="spellEnd"/>
      <w:r w:rsidRPr="00281309">
        <w:rPr>
          <w:rFonts w:ascii="Arial" w:hAnsi="Arial" w:cs="Arial"/>
        </w:rPr>
        <w:t xml:space="preserve"> Arduino”. Disponível em: </w:t>
      </w:r>
      <w:hyperlink r:id="rId15" w:tgtFrame="_blank" w:history="1">
        <w:r w:rsidRPr="00281309">
          <w:rPr>
            <w:rStyle w:val="Hyperlink"/>
            <w:rFonts w:ascii="Arial" w:hAnsi="Arial" w:cs="Arial"/>
          </w:rPr>
          <w:t>https://link.springer.com/chapter/10.1007/978-981-19-0588-9_45</w:t>
        </w:r>
      </w:hyperlink>
    </w:p>
    <w:p w14:paraId="398E0DDF" w14:textId="77777777" w:rsidR="00281309" w:rsidRPr="00281309" w:rsidRDefault="00281309" w:rsidP="00281309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  <w:bCs/>
        </w:rPr>
        <w:t>[4]</w:t>
      </w:r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Echavarría</w:t>
      </w:r>
      <w:proofErr w:type="spellEnd"/>
      <w:r w:rsidRPr="00281309">
        <w:rPr>
          <w:rFonts w:ascii="Arial" w:hAnsi="Arial" w:cs="Arial"/>
        </w:rPr>
        <w:t>, S.; Mejía-Gutiérrez, R. e Montoya, A. (2020). “</w:t>
      </w:r>
      <w:proofErr w:type="spellStart"/>
      <w:r w:rsidRPr="00281309">
        <w:rPr>
          <w:rFonts w:ascii="Arial" w:hAnsi="Arial" w:cs="Arial"/>
        </w:rPr>
        <w:t>Development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of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an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IoT</w:t>
      </w:r>
      <w:proofErr w:type="spellEnd"/>
      <w:r w:rsidRPr="00281309">
        <w:rPr>
          <w:rFonts w:ascii="Arial" w:hAnsi="Arial" w:cs="Arial"/>
        </w:rPr>
        <w:t xml:space="preserve"> Platform for </w:t>
      </w:r>
      <w:proofErr w:type="spellStart"/>
      <w:r w:rsidRPr="00281309">
        <w:rPr>
          <w:rFonts w:ascii="Arial" w:hAnsi="Arial" w:cs="Arial"/>
        </w:rPr>
        <w:t>Monitoring</w:t>
      </w:r>
      <w:proofErr w:type="spellEnd"/>
      <w:r w:rsidRPr="00281309">
        <w:rPr>
          <w:rFonts w:ascii="Arial" w:hAnsi="Arial" w:cs="Arial"/>
        </w:rPr>
        <w:t xml:space="preserve"> Electric </w:t>
      </w:r>
      <w:proofErr w:type="spellStart"/>
      <w:r w:rsidRPr="00281309">
        <w:rPr>
          <w:rFonts w:ascii="Arial" w:hAnsi="Arial" w:cs="Arial"/>
        </w:rPr>
        <w:t>Vehicle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Behaviour</w:t>
      </w:r>
      <w:proofErr w:type="spellEnd"/>
      <w:r w:rsidRPr="00281309">
        <w:rPr>
          <w:rFonts w:ascii="Arial" w:hAnsi="Arial" w:cs="Arial"/>
        </w:rPr>
        <w:t xml:space="preserve">”. Disponível em: </w:t>
      </w:r>
      <w:hyperlink r:id="rId16" w:tgtFrame="_blank" w:history="1">
        <w:r w:rsidRPr="00281309">
          <w:rPr>
            <w:rStyle w:val="Hyperlink"/>
            <w:rFonts w:ascii="Arial" w:hAnsi="Arial" w:cs="Arial"/>
          </w:rPr>
          <w:t>https://link.springer.com/chapter/10.1007/978-3-030-61834-6_31</w:t>
        </w:r>
      </w:hyperlink>
    </w:p>
    <w:p w14:paraId="19B7093E" w14:textId="77777777" w:rsidR="00281309" w:rsidRPr="00281309" w:rsidRDefault="00281309" w:rsidP="00281309">
      <w:pPr>
        <w:pStyle w:val="NormalWeb"/>
        <w:spacing w:line="360" w:lineRule="auto"/>
        <w:jc w:val="both"/>
        <w:rPr>
          <w:rFonts w:ascii="Arial" w:hAnsi="Arial" w:cs="Arial"/>
        </w:rPr>
      </w:pPr>
      <w:r w:rsidRPr="00281309">
        <w:rPr>
          <w:rFonts w:ascii="Arial" w:hAnsi="Arial" w:cs="Arial"/>
          <w:bCs/>
        </w:rPr>
        <w:t>[5]</w:t>
      </w:r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Achariyaviriya</w:t>
      </w:r>
      <w:proofErr w:type="spellEnd"/>
      <w:r w:rsidRPr="00281309">
        <w:rPr>
          <w:rFonts w:ascii="Arial" w:hAnsi="Arial" w:cs="Arial"/>
        </w:rPr>
        <w:t xml:space="preserve">, W.; </w:t>
      </w:r>
      <w:proofErr w:type="spellStart"/>
      <w:r w:rsidRPr="00281309">
        <w:rPr>
          <w:rFonts w:ascii="Arial" w:hAnsi="Arial" w:cs="Arial"/>
        </w:rPr>
        <w:t>Wongsapai</w:t>
      </w:r>
      <w:proofErr w:type="spellEnd"/>
      <w:r w:rsidRPr="00281309">
        <w:rPr>
          <w:rFonts w:ascii="Arial" w:hAnsi="Arial" w:cs="Arial"/>
        </w:rPr>
        <w:t xml:space="preserve">, W.; </w:t>
      </w:r>
      <w:proofErr w:type="spellStart"/>
      <w:r w:rsidRPr="00281309">
        <w:rPr>
          <w:rFonts w:ascii="Arial" w:hAnsi="Arial" w:cs="Arial"/>
        </w:rPr>
        <w:t>Janpoom</w:t>
      </w:r>
      <w:proofErr w:type="spellEnd"/>
      <w:r w:rsidRPr="00281309">
        <w:rPr>
          <w:rFonts w:ascii="Arial" w:hAnsi="Arial" w:cs="Arial"/>
        </w:rPr>
        <w:t xml:space="preserve">, K.; </w:t>
      </w:r>
      <w:proofErr w:type="spellStart"/>
      <w:r w:rsidRPr="00281309">
        <w:rPr>
          <w:rFonts w:ascii="Arial" w:hAnsi="Arial" w:cs="Arial"/>
        </w:rPr>
        <w:t>Katongtung</w:t>
      </w:r>
      <w:proofErr w:type="spellEnd"/>
      <w:r w:rsidRPr="00281309">
        <w:rPr>
          <w:rFonts w:ascii="Arial" w:hAnsi="Arial" w:cs="Arial"/>
        </w:rPr>
        <w:t xml:space="preserve">, T.; Mona, Y.; </w:t>
      </w:r>
      <w:proofErr w:type="spellStart"/>
      <w:r w:rsidRPr="00281309">
        <w:rPr>
          <w:rFonts w:ascii="Arial" w:hAnsi="Arial" w:cs="Arial"/>
        </w:rPr>
        <w:t>Tippayawong</w:t>
      </w:r>
      <w:proofErr w:type="spellEnd"/>
      <w:r w:rsidRPr="00281309">
        <w:rPr>
          <w:rFonts w:ascii="Arial" w:hAnsi="Arial" w:cs="Arial"/>
        </w:rPr>
        <w:t xml:space="preserve">, N. e </w:t>
      </w:r>
      <w:proofErr w:type="spellStart"/>
      <w:r w:rsidRPr="00281309">
        <w:rPr>
          <w:rFonts w:ascii="Arial" w:hAnsi="Arial" w:cs="Arial"/>
        </w:rPr>
        <w:t>Suttakul</w:t>
      </w:r>
      <w:proofErr w:type="spellEnd"/>
      <w:r w:rsidRPr="00281309">
        <w:rPr>
          <w:rFonts w:ascii="Arial" w:hAnsi="Arial" w:cs="Arial"/>
        </w:rPr>
        <w:t>, P. (2023). “</w:t>
      </w:r>
      <w:proofErr w:type="spellStart"/>
      <w:r w:rsidRPr="00281309">
        <w:rPr>
          <w:rFonts w:ascii="Arial" w:hAnsi="Arial" w:cs="Arial"/>
        </w:rPr>
        <w:t>Estimating</w:t>
      </w:r>
      <w:proofErr w:type="spellEnd"/>
      <w:r w:rsidRPr="00281309">
        <w:rPr>
          <w:rFonts w:ascii="Arial" w:hAnsi="Arial" w:cs="Arial"/>
        </w:rPr>
        <w:t xml:space="preserve"> Energy </w:t>
      </w:r>
      <w:proofErr w:type="spellStart"/>
      <w:r w:rsidRPr="00281309">
        <w:rPr>
          <w:rFonts w:ascii="Arial" w:hAnsi="Arial" w:cs="Arial"/>
        </w:rPr>
        <w:t>Consumption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of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Battery</w:t>
      </w:r>
      <w:proofErr w:type="spellEnd"/>
      <w:r w:rsidRPr="00281309">
        <w:rPr>
          <w:rFonts w:ascii="Arial" w:hAnsi="Arial" w:cs="Arial"/>
        </w:rPr>
        <w:t xml:space="preserve"> Electric </w:t>
      </w:r>
      <w:proofErr w:type="spellStart"/>
      <w:r w:rsidRPr="00281309">
        <w:rPr>
          <w:rFonts w:ascii="Arial" w:hAnsi="Arial" w:cs="Arial"/>
        </w:rPr>
        <w:t>Vehicles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Using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Vehicle</w:t>
      </w:r>
      <w:proofErr w:type="spellEnd"/>
      <w:r w:rsidRPr="00281309">
        <w:rPr>
          <w:rFonts w:ascii="Arial" w:hAnsi="Arial" w:cs="Arial"/>
        </w:rPr>
        <w:t xml:space="preserve"> Sensor Data </w:t>
      </w:r>
      <w:proofErr w:type="spellStart"/>
      <w:r w:rsidRPr="00281309">
        <w:rPr>
          <w:rFonts w:ascii="Arial" w:hAnsi="Arial" w:cs="Arial"/>
        </w:rPr>
        <w:t>and</w:t>
      </w:r>
      <w:proofErr w:type="spellEnd"/>
      <w:r w:rsidRPr="00281309">
        <w:rPr>
          <w:rFonts w:ascii="Arial" w:hAnsi="Arial" w:cs="Arial"/>
        </w:rPr>
        <w:t xml:space="preserve"> </w:t>
      </w:r>
      <w:proofErr w:type="spellStart"/>
      <w:r w:rsidRPr="00281309">
        <w:rPr>
          <w:rFonts w:ascii="Arial" w:hAnsi="Arial" w:cs="Arial"/>
        </w:rPr>
        <w:t>Machine</w:t>
      </w:r>
      <w:proofErr w:type="spellEnd"/>
      <w:r w:rsidRPr="00281309">
        <w:rPr>
          <w:rFonts w:ascii="Arial" w:hAnsi="Arial" w:cs="Arial"/>
        </w:rPr>
        <w:t xml:space="preserve"> Learning Approaches”. Disponível em: </w:t>
      </w:r>
      <w:hyperlink r:id="rId17" w:tgtFrame="_blank" w:history="1">
        <w:r w:rsidRPr="00281309">
          <w:rPr>
            <w:rStyle w:val="Hyperlink"/>
            <w:rFonts w:ascii="Arial" w:hAnsi="Arial" w:cs="Arial"/>
          </w:rPr>
          <w:t>https://www.mdpi.com/1996-1073/16/17/6351</w:t>
        </w:r>
      </w:hyperlink>
    </w:p>
    <w:p w14:paraId="1DEA5236" w14:textId="77777777" w:rsidR="00BD49DF" w:rsidRPr="00281309" w:rsidRDefault="00281309" w:rsidP="00281309">
      <w:pPr>
        <w:spacing w:line="360" w:lineRule="auto"/>
        <w:jc w:val="both"/>
      </w:pPr>
      <w:r w:rsidRPr="00281309">
        <w:rPr>
          <w:bCs/>
        </w:rPr>
        <w:t>[</w:t>
      </w:r>
      <w:r w:rsidRPr="00281309">
        <w:rPr>
          <w:rFonts w:eastAsia="Times New Roman"/>
          <w:bCs/>
          <w:kern w:val="0"/>
          <w:lang w:eastAsia="pt-BR"/>
        </w:rPr>
        <w:t>6] CHAPMAN, S. J. Fundamentos de Máquinas Elétricas. 5. ed. Porto Alegre: AMGH Editora, 2013.</w:t>
      </w:r>
    </w:p>
    <w:sectPr w:rsidR="00BD49DF" w:rsidRPr="00281309" w:rsidSect="00F10ADC">
      <w:footerReference w:type="default" r:id="rId18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EF88E" w14:textId="77777777" w:rsidR="00395F37" w:rsidRDefault="00395F37" w:rsidP="00BD49DF">
      <w:pPr>
        <w:spacing w:after="0" w:line="240" w:lineRule="auto"/>
      </w:pPr>
      <w:r>
        <w:separator/>
      </w:r>
    </w:p>
  </w:endnote>
  <w:endnote w:type="continuationSeparator" w:id="0">
    <w:p w14:paraId="1FE33234" w14:textId="77777777" w:rsidR="00395F37" w:rsidRDefault="00395F37" w:rsidP="00BD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1744015"/>
      <w:docPartObj>
        <w:docPartGallery w:val="Page Numbers (Bottom of Page)"/>
        <w:docPartUnique/>
      </w:docPartObj>
    </w:sdtPr>
    <w:sdtEndPr/>
    <w:sdtContent>
      <w:p w14:paraId="133DC07B" w14:textId="77777777" w:rsidR="007B20C1" w:rsidRDefault="00871FD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4342">
          <w:rPr>
            <w:noProof/>
          </w:rPr>
          <w:t>10</w:t>
        </w:r>
        <w:r>
          <w:fldChar w:fldCharType="end"/>
        </w:r>
      </w:p>
    </w:sdtContent>
  </w:sdt>
  <w:p w14:paraId="430DF8DD" w14:textId="77777777" w:rsidR="007B20C1" w:rsidRDefault="00395F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44D21" w14:textId="77777777" w:rsidR="00395F37" w:rsidRDefault="00395F37" w:rsidP="00BD49DF">
      <w:pPr>
        <w:spacing w:after="0" w:line="240" w:lineRule="auto"/>
      </w:pPr>
      <w:r>
        <w:separator/>
      </w:r>
    </w:p>
  </w:footnote>
  <w:footnote w:type="continuationSeparator" w:id="0">
    <w:p w14:paraId="27FA863C" w14:textId="77777777" w:rsidR="00395F37" w:rsidRDefault="00395F37" w:rsidP="00BD4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32A03"/>
    <w:multiLevelType w:val="hybridMultilevel"/>
    <w:tmpl w:val="EBDAC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7606"/>
    <w:multiLevelType w:val="multilevel"/>
    <w:tmpl w:val="D05E49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85E4D7F"/>
    <w:multiLevelType w:val="hybridMultilevel"/>
    <w:tmpl w:val="AC18B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42245"/>
    <w:multiLevelType w:val="multilevel"/>
    <w:tmpl w:val="F90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C1632"/>
    <w:multiLevelType w:val="multilevel"/>
    <w:tmpl w:val="5F4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9DF"/>
    <w:rsid w:val="00024342"/>
    <w:rsid w:val="00032473"/>
    <w:rsid w:val="002052DE"/>
    <w:rsid w:val="00235CBE"/>
    <w:rsid w:val="00281309"/>
    <w:rsid w:val="002B4F96"/>
    <w:rsid w:val="003472D7"/>
    <w:rsid w:val="00395F37"/>
    <w:rsid w:val="00397422"/>
    <w:rsid w:val="003C0FB2"/>
    <w:rsid w:val="00445AD8"/>
    <w:rsid w:val="00682C34"/>
    <w:rsid w:val="00871FD6"/>
    <w:rsid w:val="00971F5F"/>
    <w:rsid w:val="00AF3F96"/>
    <w:rsid w:val="00BD49DF"/>
    <w:rsid w:val="00C91B64"/>
    <w:rsid w:val="00D33AA2"/>
    <w:rsid w:val="00F4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759F9"/>
  <w15:docId w15:val="{10CA9497-AD3E-4392-83F1-F5DC3C37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9DF"/>
    <w:pPr>
      <w:spacing w:after="160" w:line="278" w:lineRule="auto"/>
    </w:pPr>
    <w:rPr>
      <w:rFonts w:ascii="Arial" w:hAnsi="Arial" w:cs="Arial"/>
      <w:kern w:val="2"/>
      <w:sz w:val="24"/>
      <w:szCs w:val="24"/>
    </w:rPr>
  </w:style>
  <w:style w:type="paragraph" w:styleId="Ttulo1">
    <w:name w:val="heading 1"/>
    <w:basedOn w:val="Normal"/>
    <w:next w:val="SemEspaamento"/>
    <w:link w:val="Ttulo1Char"/>
    <w:uiPriority w:val="9"/>
    <w:qFormat/>
    <w:rsid w:val="00BD49D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Ttulo2">
    <w:name w:val="heading 2"/>
    <w:basedOn w:val="SemEspaamento"/>
    <w:next w:val="Normal"/>
    <w:link w:val="Ttulo2Char"/>
    <w:uiPriority w:val="9"/>
    <w:unhideWhenUsed/>
    <w:qFormat/>
    <w:rsid w:val="00BD49DF"/>
    <w:pPr>
      <w:numPr>
        <w:ilvl w:val="1"/>
        <w:numId w:val="1"/>
      </w:numPr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D4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49DF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BD49DF"/>
    <w:rPr>
      <w:rFonts w:ascii="Arial" w:eastAsiaTheme="majorEastAsia" w:hAnsi="Arial" w:cs="Arial"/>
      <w:b/>
      <w:bCs/>
      <w:kern w:val="2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D49DF"/>
    <w:rPr>
      <w:rFonts w:ascii="Arial" w:hAnsi="Arial" w:cs="Arial"/>
      <w:b/>
      <w:bCs/>
      <w:kern w:val="2"/>
      <w:sz w:val="24"/>
      <w:szCs w:val="24"/>
    </w:rPr>
  </w:style>
  <w:style w:type="paragraph" w:styleId="SemEspaamento">
    <w:name w:val="No Spacing"/>
    <w:aliases w:val="Texto"/>
    <w:uiPriority w:val="1"/>
    <w:qFormat/>
    <w:rsid w:val="00BD49DF"/>
    <w:pPr>
      <w:spacing w:after="0" w:line="360" w:lineRule="auto"/>
      <w:ind w:firstLine="709"/>
      <w:jc w:val="both"/>
    </w:pPr>
    <w:rPr>
      <w:rFonts w:ascii="Arial" w:hAnsi="Arial" w:cs="Arial"/>
      <w:kern w:val="2"/>
      <w:sz w:val="24"/>
      <w:szCs w:val="24"/>
    </w:rPr>
  </w:style>
  <w:style w:type="paragraph" w:styleId="PargrafodaLista">
    <w:name w:val="List Paragraph"/>
    <w:basedOn w:val="Normal"/>
    <w:uiPriority w:val="1"/>
    <w:rsid w:val="00BD49D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D49DF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D49DF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B4F96"/>
    <w:pPr>
      <w:tabs>
        <w:tab w:val="left" w:pos="480"/>
        <w:tab w:val="right" w:leader="dot" w:pos="8494"/>
      </w:tabs>
      <w:spacing w:before="120" w:after="120"/>
    </w:pPr>
    <w:rPr>
      <w:rFonts w:asciiTheme="minorHAnsi" w:hAnsiTheme="minorHAnsi"/>
      <w:b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BD49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49DF"/>
    <w:rPr>
      <w:rFonts w:ascii="Arial" w:hAnsi="Arial" w:cs="Arial"/>
      <w:kern w:val="2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D49D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D49DF"/>
    <w:rPr>
      <w:rFonts w:ascii="Arial" w:hAnsi="Arial" w:cs="Arial"/>
      <w:kern w:val="2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D49DF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BD49DF"/>
    <w:pPr>
      <w:spacing w:after="0" w:line="240" w:lineRule="auto"/>
    </w:pPr>
    <w:rPr>
      <w:i/>
      <w:iCs/>
      <w:color w:val="1F497D" w:themeColor="text2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D49DF"/>
    <w:pPr>
      <w:tabs>
        <w:tab w:val="left" w:pos="960"/>
        <w:tab w:val="right" w:leader="dot" w:pos="8494"/>
      </w:tabs>
      <w:spacing w:after="0"/>
      <w:ind w:left="240"/>
    </w:pPr>
    <w:rPr>
      <w:rFonts w:asciiTheme="minorHAnsi" w:hAnsiTheme="minorHAnsi"/>
      <w:b/>
      <w:bCs/>
      <w:smallCaps/>
      <w:noProof/>
      <w:sz w:val="20"/>
      <w:szCs w:val="20"/>
    </w:rPr>
  </w:style>
  <w:style w:type="table" w:styleId="Tabelacomgrade">
    <w:name w:val="Table Grid"/>
    <w:basedOn w:val="Tabelanormal"/>
    <w:uiPriority w:val="39"/>
    <w:rsid w:val="00BD49DF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">
    <w:name w:val="citation-15"/>
    <w:basedOn w:val="Fontepargpadro"/>
    <w:rsid w:val="002B4F96"/>
  </w:style>
  <w:style w:type="character" w:customStyle="1" w:styleId="citation-14">
    <w:name w:val="citation-14"/>
    <w:basedOn w:val="Fontepargpadro"/>
    <w:rsid w:val="002B4F96"/>
  </w:style>
  <w:style w:type="character" w:customStyle="1" w:styleId="citation-13">
    <w:name w:val="citation-13"/>
    <w:basedOn w:val="Fontepargpadro"/>
    <w:rsid w:val="002B4F96"/>
  </w:style>
  <w:style w:type="character" w:customStyle="1" w:styleId="citation-12">
    <w:name w:val="citation-12"/>
    <w:basedOn w:val="Fontepargpadro"/>
    <w:rsid w:val="002B4F96"/>
  </w:style>
  <w:style w:type="character" w:customStyle="1" w:styleId="citation-11">
    <w:name w:val="citation-11"/>
    <w:basedOn w:val="Fontepargpadro"/>
    <w:rsid w:val="00682C34"/>
  </w:style>
  <w:style w:type="paragraph" w:styleId="NormalWeb">
    <w:name w:val="Normal (Web)"/>
    <w:basedOn w:val="Normal"/>
    <w:uiPriority w:val="99"/>
    <w:unhideWhenUsed/>
    <w:rsid w:val="00682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character" w:customStyle="1" w:styleId="citation-10">
    <w:name w:val="citation-10"/>
    <w:basedOn w:val="Fontepargpadro"/>
    <w:rsid w:val="00032473"/>
  </w:style>
  <w:style w:type="character" w:customStyle="1" w:styleId="mord">
    <w:name w:val="mord"/>
    <w:basedOn w:val="Fontepargpadro"/>
    <w:rsid w:val="00971F5F"/>
  </w:style>
  <w:style w:type="character" w:customStyle="1" w:styleId="mrel">
    <w:name w:val="mrel"/>
    <w:basedOn w:val="Fontepargpadro"/>
    <w:rsid w:val="00971F5F"/>
  </w:style>
  <w:style w:type="character" w:customStyle="1" w:styleId="mbin">
    <w:name w:val="mbin"/>
    <w:basedOn w:val="Fontepargpadro"/>
    <w:rsid w:val="00971F5F"/>
  </w:style>
  <w:style w:type="character" w:customStyle="1" w:styleId="mpunct">
    <w:name w:val="mpunct"/>
    <w:basedOn w:val="Fontepargpadro"/>
    <w:rsid w:val="00971F5F"/>
  </w:style>
  <w:style w:type="character" w:customStyle="1" w:styleId="vlist-s">
    <w:name w:val="vlist-s"/>
    <w:basedOn w:val="Fontepargpadro"/>
    <w:rsid w:val="00281309"/>
  </w:style>
  <w:style w:type="character" w:styleId="TextodoEspaoReservado">
    <w:name w:val="Placeholder Text"/>
    <w:basedOn w:val="Fontepargpadro"/>
    <w:uiPriority w:val="99"/>
    <w:semiHidden/>
    <w:rsid w:val="000243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mdpi.com/1996-1073/16/17/63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chapter/10.1007/978-3-030-61834-6_3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link.springer.com/chapter/10.1007/978-981-19-0588-9_45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nhtsa.gov/vehicle-safety/automated-vehicles-safety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13</Pages>
  <Words>2234</Words>
  <Characters>12065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REIS FRANCISCO JÚNIOR</dc:creator>
  <cp:lastModifiedBy>Alexandre</cp:lastModifiedBy>
  <cp:revision>3</cp:revision>
  <dcterms:created xsi:type="dcterms:W3CDTF">2026-03-19T16:17:00Z</dcterms:created>
  <dcterms:modified xsi:type="dcterms:W3CDTF">2026-03-21T02:35:00Z</dcterms:modified>
</cp:coreProperties>
</file>