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Calibri" w:cs="Calibri" w:eastAsia="Calibri" w:hAnsi="Calibri"/>
          <w:b/>
          <w:bCs/>
          <w:color w:val="2E75B6"/>
          <w:spacing w:val="40"/>
          <w:sz w:val="28"/>
          <w:szCs w:val="28"/>
        </w:rPr>
        <w:t xml:space="preserve">PROPOSITION COMMERCIALE</w:t>
      </w:r>
    </w:p>
    <w:p>
      <w:pPr>
        <w:pBdr>
          <w:bottom w:val="single" w:color="2E75B6" w:sz="12" w:space="4"/>
        </w:pBdr>
        <w:spacing w:after="200" w:before="200"/>
        <w:jc w:val="center"/>
      </w:pPr>
      <w:r>
        <w:rPr>
          <w:sz w:val="2"/>
          <w:szCs w:val="2"/>
        </w:rPr>
        <w:t xml:space="preserve"/>
      </w:r>
    </w:p>
    <w:p>
      <w:pPr>
        <w:spacing w:after="80" w:before="200"/>
        <w:jc w:val="center"/>
      </w:pPr>
      <w:r>
        <w:rPr>
          <w:rFonts w:ascii="Calibri" w:cs="Calibri" w:eastAsia="Calibri" w:hAnsi="Calibri"/>
          <w:b/>
          <w:bCs/>
          <w:color w:val="1F3A5F"/>
          <w:sz w:val="96"/>
          <w:szCs w:val="96"/>
        </w:rPr>
        <w:t xml:space="preserve">EYWAI</w:t>
      </w:r>
    </w:p>
    <w:p>
      <w:pPr>
        <w:spacing w:after="200" w:before="40"/>
        <w:jc w:val="center"/>
      </w:pPr>
      <w:r>
        <w:rPr>
          <w:rFonts w:ascii="Calibri" w:cs="Calibri" w:eastAsia="Calibri" w:hAnsi="Calibri"/>
          <w:i/>
          <w:iCs/>
          <w:color w:val="5C5C5C"/>
          <w:sz w:val="28"/>
          <w:szCs w:val="28"/>
        </w:rPr>
        <w:t xml:space="preserve">Suite paie et RH nouvelle génération</w:t>
      </w:r>
    </w:p>
    <w:p>
      <w:pPr>
        <w:pBdr>
          <w:bottom w:val="single" w:color="B8C5D1" w:sz="8" w:space="4"/>
        </w:pBdr>
        <w:spacing w:after="200" w:before="200"/>
        <w:jc w:val="center"/>
      </w:pPr>
      <w:r>
        <w:rPr>
          <w:sz w:val="2"/>
          <w:szCs w:val="2"/>
        </w:rPr>
        <w:t xml:space="preserve"/>
      </w:r>
    </w:p>
    <w:p>
      <w:pPr>
        <w:spacing w:after="60" w:before="60"/>
      </w:pPr>
      <w:r>
        <w:t xml:space="preserve"/>
      </w:r>
    </w:p>
    <w:p>
      <w:pPr>
        <w:spacing w:after="80" w:before="200"/>
        <w:jc w:val="center"/>
      </w:pPr>
      <w:r>
        <w:rPr>
          <w:rFonts w:ascii="Calibri" w:cs="Calibri" w:eastAsia="Calibri" w:hAnsi="Calibri"/>
          <w:b/>
          <w:bCs/>
          <w:color w:val="1F3A5F"/>
          <w:sz w:val="28"/>
          <w:szCs w:val="28"/>
        </w:rPr>
        <w:t xml:space="preserve">CESSION INTÉGRALE DE LA SOLUTION</w:t>
      </w:r>
    </w:p>
    <w:p>
      <w:pPr>
        <w:spacing w:after="200" w:before="80"/>
        <w:jc w:val="center"/>
      </w:pPr>
      <w:r>
        <w:rPr>
          <w:rFonts w:ascii="Calibri" w:cs="Calibri" w:eastAsia="Calibri" w:hAnsi="Calibri"/>
          <w:color w:val="1A1A1A"/>
          <w:sz w:val="24"/>
          <w:szCs w:val="24"/>
        </w:rPr>
        <w:t xml:space="preserve">Socle paie · 9 packs fonctionnels · IA native</w:t>
      </w:r>
    </w:p>
    <w:p>
      <w:pPr>
        <w:spacing w:after="60" w:before="60"/>
      </w:pPr>
      <w:r>
        <w:t xml:space="preserve"/>
      </w:r>
    </w:p>
    <w:p>
      <w:pPr>
        <w:spacing w:after="60" w:before="60"/>
      </w:pPr>
      <w:r>
        <w:t xml:space="preserve"/>
      </w:r>
    </w:p>
    <w:p>
      <w:pPr>
        <w:spacing w:after="60" w:before="60"/>
      </w:pPr>
      <w:r>
        <w:t xml:space="preserve"/>
      </w:r>
    </w:p>
    <w:p>
      <w:pPr>
        <w:spacing w:after="80" w:before="300"/>
        <w:jc w:val="center"/>
      </w:pPr>
      <w:r>
        <w:rPr>
          <w:rFonts w:ascii="Calibri" w:cs="Calibri" w:eastAsia="Calibri" w:hAnsi="Calibri"/>
          <w:color w:val="5C5C5C"/>
          <w:sz w:val="22"/>
          <w:szCs w:val="22"/>
        </w:rPr>
        <w:t xml:space="preserve">Montant total du deal</w:t>
      </w:r>
    </w:p>
    <w:p>
      <w:pPr>
        <w:spacing w:after="200" w:before="40"/>
        <w:jc w:val="center"/>
      </w:pPr>
      <w:r>
        <w:rPr>
          <w:rFonts w:ascii="Calibri" w:cs="Calibri" w:eastAsia="Calibri" w:hAnsi="Calibri"/>
          <w:b/>
          <w:bCs/>
          <w:color w:val="2E75B6"/>
          <w:sz w:val="72"/>
          <w:szCs w:val="72"/>
        </w:rPr>
        <w:t xml:space="preserve">140 000 € HT</w:t>
      </w:r>
    </w:p>
    <w:p>
      <w:pPr>
        <w:spacing w:after="60" w:before="60"/>
      </w:pPr>
      <w:r>
        <w:t xml:space="preserve"/>
      </w:r>
    </w:p>
    <w:p>
      <w:pPr>
        <w:spacing w:after="60" w:before="60"/>
      </w:pPr>
      <w:r>
        <w:t xml:space="preserve"/>
      </w:r>
    </w:p>
    <w:p>
      <w:pPr>
        <w:spacing w:after="40" w:before="600"/>
        <w:jc w:val="center"/>
      </w:pPr>
      <w:r>
        <w:rPr>
          <w:rFonts w:ascii="Calibri" w:cs="Calibri" w:eastAsia="Calibri" w:hAnsi="Calibri"/>
          <w:color w:val="5C5C5C"/>
          <w:sz w:val="20"/>
          <w:szCs w:val="20"/>
        </w:rPr>
        <w:t xml:space="preserve">Date d'émission : Avril 2026</w:t>
      </w:r>
    </w:p>
    <w:p>
      <w:pPr>
        <w:spacing w:after="40" w:before="40"/>
        <w:jc w:val="center"/>
      </w:pPr>
      <w:r>
        <w:rPr>
          <w:rFonts w:ascii="Calibri" w:cs="Calibri" w:eastAsia="Calibri" w:hAnsi="Calibri"/>
          <w:color w:val="5C5C5C"/>
          <w:sz w:val="20"/>
          <w:szCs w:val="20"/>
        </w:rPr>
        <w:t xml:space="preserve">Validité de l'offre : 60 jours</w:t>
      </w:r>
    </w:p>
    <w:p>
      <w:r>
        <w:br w:type="page"/>
      </w:r>
    </w:p>
    <w:p>
      <w:pPr>
        <w:pStyle w:val="Heading1"/>
        <w:spacing w:after="160" w:before="360"/>
      </w:pPr>
      <w:r>
        <w:rPr>
          <w:rFonts w:ascii="Calibri" w:cs="Calibri" w:eastAsia="Calibri" w:hAnsi="Calibri"/>
          <w:b/>
          <w:bCs/>
          <w:color w:val="1F3A5F"/>
          <w:sz w:val="32"/>
          <w:szCs w:val="32"/>
        </w:rPr>
        <w:t xml:space="preserve">1. Résumé exécutif</w:t>
      </w:r>
    </w:p>
    <w:p>
      <w:pPr>
        <w:spacing w:after="60" w:before="60"/>
        <w:jc w:val="left"/>
      </w:pPr>
      <w:r>
        <w:rPr>
          <w:rFonts w:ascii="Calibri" w:cs="Calibri" w:eastAsia="Calibri" w:hAnsi="Calibri"/>
          <w:b w:val="false"/>
          <w:bCs w:val="false"/>
          <w:i w:val="false"/>
          <w:iCs w:val="false"/>
          <w:color w:val="1A1A1A"/>
          <w:sz w:val="22"/>
          <w:szCs w:val="22"/>
        </w:rPr>
        <w:t xml:space="preserve">Le présent document constitue une proposition commerciale de cession intégrale de la solution logicielle EYWAI, accompagnée de sa mise en œuvre opérationnelle et de la formation des équipes de l'acquéreur.</w:t>
      </w:r>
    </w:p>
    <w:p>
      <w:pPr>
        <w:spacing w:after="60" w:before="60"/>
      </w:pPr>
      <w:r>
        <w:t xml:space="preserve"/>
      </w:r>
    </w:p>
    <w:p>
      <w:pPr>
        <w:spacing w:after="80" w:before="180"/>
      </w:pPr>
      <w:r>
        <w:rPr>
          <w:rFonts w:ascii="Calibri" w:cs="Calibri" w:eastAsia="Calibri" w:hAnsi="Calibri"/>
          <w:b/>
          <w:bCs/>
          <w:color w:val="1F3A5F"/>
          <w:sz w:val="23"/>
          <w:szCs w:val="23"/>
        </w:rPr>
        <w:t xml:space="preserve">1.1 Nature de l'opération</w:t>
      </w:r>
    </w:p>
    <w:p>
      <w:pPr>
        <w:spacing w:after="60" w:before="60"/>
        <w:jc w:val="left"/>
      </w:pPr>
      <w:r>
        <w:rPr>
          <w:rFonts w:ascii="Calibri" w:cs="Calibri" w:eastAsia="Calibri" w:hAnsi="Calibri"/>
          <w:b w:val="false"/>
          <w:bCs w:val="false"/>
          <w:i w:val="false"/>
          <w:iCs w:val="false"/>
          <w:color w:val="1A1A1A"/>
          <w:sz w:val="22"/>
          <w:szCs w:val="22"/>
        </w:rPr>
        <w:t xml:space="preserve">La proposition porte sur trois volets complémentaires et indissociables :</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Cession EYWAI : </w:t>
      </w:r>
      <w:r>
        <w:rPr>
          <w:rFonts w:ascii="Calibri" w:cs="Calibri" w:eastAsia="Calibri" w:hAnsi="Calibri"/>
          <w:b/>
          <w:bCs/>
          <w:i w:val="false"/>
          <w:iCs w:val="false"/>
          <w:color w:val="1A1A1A"/>
          <w:sz w:val="22"/>
          <w:szCs w:val="22"/>
        </w:rPr>
        <w:t xml:space="preserve">transfert de la propriété du produit, du code source, des droits de propriété intellectuelle et de l'ensemble de la documentation produit</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Implémentation : </w:t>
      </w:r>
      <w:r>
        <w:rPr>
          <w:rFonts w:ascii="Calibri" w:cs="Calibri" w:eastAsia="Calibri" w:hAnsi="Calibri"/>
          <w:b/>
          <w:bCs/>
          <w:i w:val="false"/>
          <w:iCs w:val="false"/>
          <w:color w:val="1A1A1A"/>
          <w:sz w:val="22"/>
          <w:szCs w:val="22"/>
        </w:rPr>
        <w:t xml:space="preserve">paramétrage initial chez l'acquéreur, reprise de l'historique et mise en production</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Formation : </w:t>
      </w:r>
      <w:r>
        <w:rPr>
          <w:rFonts w:ascii="Calibri" w:cs="Calibri" w:eastAsia="Calibri" w:hAnsi="Calibri"/>
          <w:b/>
          <w:bCs/>
          <w:i w:val="false"/>
          <w:iCs w:val="false"/>
          <w:color w:val="1A1A1A"/>
          <w:sz w:val="22"/>
          <w:szCs w:val="22"/>
        </w:rPr>
        <w:t xml:space="preserve">montée en compétence des équipes RH et administratives utilisatrices</w:t>
      </w:r>
    </w:p>
    <w:p>
      <w:pPr>
        <w:spacing w:after="60" w:before="60"/>
      </w:pPr>
      <w:r>
        <w:t xml:space="preserve"/>
      </w:r>
    </w:p>
    <w:p>
      <w:pPr>
        <w:spacing w:after="80" w:before="180"/>
      </w:pPr>
      <w:r>
        <w:rPr>
          <w:rFonts w:ascii="Calibri" w:cs="Calibri" w:eastAsia="Calibri" w:hAnsi="Calibri"/>
          <w:b/>
          <w:bCs/>
          <w:color w:val="1F3A5F"/>
          <w:sz w:val="23"/>
          <w:szCs w:val="23"/>
        </w:rPr>
        <w:t xml:space="preserve">1.2 Montant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2000"/>
        <w:gridCol w:w="1900"/>
      </w:tblGrid>
      <w:tr>
        <w:trPr>
          <w:tblHeader/>
        </w:trPr>
        <w:tc>
          <w:tcPr>
            <w:tcW w:type="dxa" w:w="54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FFFFFF"/>
                <w:sz w:val="22"/>
                <w:szCs w:val="22"/>
              </w:rPr>
              <w:t xml:space="preserve">Ligne de la proposition</w:t>
            </w:r>
          </w:p>
        </w:tc>
        <w:tc>
          <w:tcPr>
            <w:tcW w:type="dxa" w:w="2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Montant HT</w:t>
            </w:r>
          </w:p>
        </w:tc>
        <w:tc>
          <w:tcPr>
            <w:tcW w:type="dxa" w:w="19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Modalité</w:t>
            </w:r>
          </w:p>
        </w:tc>
      </w:tr>
      <w:tr>
        <w:tc>
          <w:tcPr>
            <w:tcW w:type="dxa" w:w="5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Cession EYWAI (produit + IP + documentation)</w:t>
            </w:r>
          </w:p>
        </w:tc>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130 000 €</w:t>
            </w:r>
          </w:p>
        </w:tc>
        <w:tc>
          <w:tcPr>
            <w:tcW w:type="dxa" w:w="19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Implémentation (scope borné — voir §5)</w:t>
            </w:r>
          </w:p>
        </w:tc>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5 000 €</w:t>
            </w:r>
          </w:p>
        </w:tc>
        <w:tc>
          <w:tcPr>
            <w:tcW w:type="dxa" w:w="19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Formation équipes (scope borné — voir §6)</w:t>
            </w:r>
          </w:p>
        </w:tc>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5 000 €</w:t>
            </w:r>
          </w:p>
        </w:tc>
        <w:tc>
          <w:tcPr>
            <w:tcW w:type="dxa" w:w="19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46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4"/>
                <w:szCs w:val="24"/>
              </w:rPr>
              <w:t xml:space="preserve">TOTAL HT</w:t>
            </w:r>
          </w:p>
        </w:tc>
        <w:tc>
          <w:tcPr>
            <w:tcW w:type="dxa" w:w="200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2E75B6"/>
                <w:sz w:val="26"/>
                <w:szCs w:val="26"/>
              </w:rPr>
              <w:t xml:space="preserve">140 000 €</w:t>
            </w:r>
          </w:p>
        </w:tc>
        <w:tc>
          <w:tcPr>
            <w:tcW w:type="dxa" w:w="190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
            </w:r>
          </w:p>
        </w:tc>
      </w:tr>
    </w:tbl>
    <w:p>
      <w:pPr>
        <w:spacing w:after="60" w:before="60"/>
      </w:pPr>
      <w:r>
        <w:t xml:space="preserve"/>
      </w:r>
    </w:p>
    <w:p>
      <w:pPr>
        <w:spacing w:after="60" w:before="60"/>
        <w:jc w:val="left"/>
      </w:pPr>
      <w:r>
        <w:rPr>
          <w:rFonts w:ascii="Calibri" w:cs="Calibri" w:eastAsia="Calibri" w:hAnsi="Calibri"/>
          <w:b w:val="false"/>
          <w:bCs w:val="false"/>
          <w:i/>
          <w:iCs/>
          <w:color w:val="5C5C5C"/>
          <w:sz w:val="20"/>
          <w:szCs w:val="20"/>
        </w:rPr>
        <w:t xml:space="preserve">TVA applicable en sus selon la réglementation en vigueur.</w:t>
      </w:r>
    </w:p>
    <w:p>
      <w:pPr>
        <w:spacing w:after="60" w:before="60"/>
      </w:pPr>
      <w:r>
        <w:t xml:space="preserve"/>
      </w:r>
    </w:p>
    <w:p>
      <w:pPr>
        <w:spacing w:after="80" w:before="180"/>
      </w:pPr>
      <w:r>
        <w:rPr>
          <w:rFonts w:ascii="Calibri" w:cs="Calibri" w:eastAsia="Calibri" w:hAnsi="Calibri"/>
          <w:b/>
          <w:bCs/>
          <w:color w:val="1F3A5F"/>
          <w:sz w:val="23"/>
          <w:szCs w:val="23"/>
        </w:rPr>
        <w:t xml:space="preserve">1.3 Points clés de l'offre</w:t>
      </w:r>
    </w:p>
    <w:p>
      <w:pPr>
        <w:pStyle w:val="ListParagraph"/>
        <w:numPr>
          <w:ilvl w:val="0"/>
          <w:numId w:val="2"/>
        </w:numPr>
        <w:spacing w:after="40" w:before="40"/>
      </w:pPr>
      <w:r>
        <w:rPr>
          <w:rFonts w:ascii="Calibri" w:cs="Calibri" w:eastAsia="Calibri" w:hAnsi="Calibri"/>
          <w:color w:val="1A1A1A"/>
          <w:sz w:val="22"/>
          <w:szCs w:val="22"/>
        </w:rPr>
        <w:t xml:space="preserve">Solution logicielle opérationnelle issue de 12 mois de développement dédié par 2 développeurs spécialisés paie</w:t>
      </w:r>
    </w:p>
    <w:p>
      <w:pPr>
        <w:pStyle w:val="ListParagraph"/>
        <w:numPr>
          <w:ilvl w:val="0"/>
          <w:numId w:val="2"/>
        </w:numPr>
        <w:spacing w:after="40" w:before="40"/>
      </w:pPr>
      <w:r>
        <w:rPr>
          <w:rFonts w:ascii="Calibri" w:cs="Calibri" w:eastAsia="Calibri" w:hAnsi="Calibri"/>
          <w:color w:val="1A1A1A"/>
          <w:sz w:val="22"/>
          <w:szCs w:val="22"/>
        </w:rPr>
        <w:t xml:space="preserve">Couverture fonctionnelle complète : socle paie + 9 packs RH/métier livrés et documentés</w:t>
      </w:r>
    </w:p>
    <w:p>
      <w:pPr>
        <w:pStyle w:val="ListParagraph"/>
        <w:numPr>
          <w:ilvl w:val="0"/>
          <w:numId w:val="2"/>
        </w:numPr>
        <w:spacing w:after="40" w:before="40"/>
      </w:pPr>
      <w:r>
        <w:rPr>
          <w:rFonts w:ascii="Calibri" w:cs="Calibri" w:eastAsia="Calibri" w:hAnsi="Calibri"/>
          <w:color w:val="1A1A1A"/>
          <w:sz w:val="22"/>
          <w:szCs w:val="22"/>
        </w:rPr>
        <w:t xml:space="preserve">Module IA natif intégré : assistant conversationnel paie, détection intelligente de non-conformité CCN, simulations d'impact masse salariale</w:t>
      </w:r>
    </w:p>
    <w:p>
      <w:pPr>
        <w:pStyle w:val="ListParagraph"/>
        <w:numPr>
          <w:ilvl w:val="0"/>
          <w:numId w:val="2"/>
        </w:numPr>
        <w:spacing w:after="40" w:before="40"/>
      </w:pPr>
      <w:r>
        <w:rPr>
          <w:rFonts w:ascii="Calibri" w:cs="Calibri" w:eastAsia="Calibri" w:hAnsi="Calibri"/>
          <w:color w:val="1A1A1A"/>
          <w:sz w:val="22"/>
          <w:szCs w:val="22"/>
        </w:rPr>
        <w:t xml:space="preserve">Pricing benchmarké face aux acteurs établis (Silae, PayFit, Cegid, Sage)</w:t>
      </w:r>
    </w:p>
    <w:p>
      <w:pPr>
        <w:pStyle w:val="ListParagraph"/>
        <w:numPr>
          <w:ilvl w:val="0"/>
          <w:numId w:val="2"/>
        </w:numPr>
        <w:spacing w:after="40" w:before="40"/>
      </w:pPr>
      <w:r>
        <w:rPr>
          <w:rFonts w:ascii="Calibri" w:cs="Calibri" w:eastAsia="Calibri" w:hAnsi="Calibri"/>
          <w:color w:val="1A1A1A"/>
          <w:sz w:val="22"/>
          <w:szCs w:val="22"/>
        </w:rPr>
        <w:t xml:space="preserve">Documentation produit complète avec checklist d'onboarding structurée en 80+ points de contrôle</w:t>
      </w:r>
    </w:p>
    <w:p>
      <w:pPr>
        <w:pStyle w:val="ListParagraph"/>
        <w:numPr>
          <w:ilvl w:val="0"/>
          <w:numId w:val="2"/>
        </w:numPr>
        <w:spacing w:after="40" w:before="40"/>
      </w:pPr>
      <w:r>
        <w:rPr>
          <w:rFonts w:ascii="Calibri" w:cs="Calibri" w:eastAsia="Calibri" w:hAnsi="Calibri"/>
          <w:color w:val="1A1A1A"/>
          <w:sz w:val="22"/>
          <w:szCs w:val="22"/>
        </w:rPr>
        <w:t xml:space="preserve">Gain de time-to-market estimé à 12 mois vs. reconstruction interne</w:t>
      </w:r>
    </w:p>
    <w:p>
      <w:r>
        <w:br w:type="page"/>
      </w:r>
    </w:p>
    <w:p>
      <w:pPr>
        <w:pStyle w:val="Heading1"/>
        <w:spacing w:after="160" w:before="360"/>
      </w:pPr>
      <w:r>
        <w:rPr>
          <w:rFonts w:ascii="Calibri" w:cs="Calibri" w:eastAsia="Calibri" w:hAnsi="Calibri"/>
          <w:b/>
          <w:bCs/>
          <w:color w:val="1F3A5F"/>
          <w:sz w:val="32"/>
          <w:szCs w:val="32"/>
        </w:rPr>
        <w:t xml:space="preserve">2. Contexte et parties</w:t>
      </w:r>
    </w:p>
    <w:p>
      <w:pPr>
        <w:spacing w:after="80" w:before="180"/>
      </w:pPr>
      <w:r>
        <w:rPr>
          <w:rFonts w:ascii="Calibri" w:cs="Calibri" w:eastAsia="Calibri" w:hAnsi="Calibri"/>
          <w:b/>
          <w:bCs/>
          <w:color w:val="1F3A5F"/>
          <w:sz w:val="23"/>
          <w:szCs w:val="23"/>
        </w:rPr>
        <w:t xml:space="preserve">2.1 Présentation d'EYWAI</w:t>
      </w:r>
    </w:p>
    <w:p>
      <w:pPr>
        <w:spacing w:after="60" w:before="60"/>
        <w:jc w:val="left"/>
      </w:pPr>
      <w:r>
        <w:rPr>
          <w:rFonts w:ascii="Calibri" w:cs="Calibri" w:eastAsia="Calibri" w:hAnsi="Calibri"/>
          <w:b w:val="false"/>
          <w:bCs w:val="false"/>
          <w:i w:val="false"/>
          <w:iCs w:val="false"/>
          <w:color w:val="1A1A1A"/>
          <w:sz w:val="22"/>
          <w:szCs w:val="22"/>
        </w:rPr>
        <w:t xml:space="preserve">EYWAI est une solution SaaS française de gestion de la paie et des processus RH, conçue pour offrir aux PME et ETI une alternative moderne, automatisée et économiquement compétitive aux logiciels historiques du marché. La solution se distingue par trois partis pris :</w:t>
      </w:r>
    </w:p>
    <w:p>
      <w:pPr>
        <w:pStyle w:val="ListParagraph"/>
        <w:numPr>
          <w:ilvl w:val="0"/>
          <w:numId w:val="2"/>
        </w:numPr>
        <w:spacing w:after="40" w:before="40"/>
      </w:pPr>
      <w:r>
        <w:rPr>
          <w:rFonts w:ascii="Calibri" w:cs="Calibri" w:eastAsia="Calibri" w:hAnsi="Calibri"/>
          <w:color w:val="1A1A1A"/>
          <w:sz w:val="22"/>
          <w:szCs w:val="22"/>
        </w:rPr>
        <w:t xml:space="preserve">Un pricing public et transparent (4,50 € à 6,50 € par bulletin), là où le marché pratique majoritairement le devis opaque</w:t>
      </w:r>
    </w:p>
    <w:p>
      <w:pPr>
        <w:pStyle w:val="ListParagraph"/>
        <w:numPr>
          <w:ilvl w:val="0"/>
          <w:numId w:val="2"/>
        </w:numPr>
        <w:spacing w:after="40" w:before="40"/>
      </w:pPr>
      <w:r>
        <w:rPr>
          <w:rFonts w:ascii="Calibri" w:cs="Calibri" w:eastAsia="Calibri" w:hAnsi="Calibri"/>
          <w:color w:val="1A1A1A"/>
          <w:sz w:val="22"/>
          <w:szCs w:val="22"/>
        </w:rPr>
        <w:t xml:space="preserve">Une automatisation poussée des flux les plus chronophages (onboarding client, avenants, DSN, saisies sur salaires)</w:t>
      </w:r>
    </w:p>
    <w:p>
      <w:pPr>
        <w:pStyle w:val="ListParagraph"/>
        <w:numPr>
          <w:ilvl w:val="0"/>
          <w:numId w:val="2"/>
        </w:numPr>
        <w:spacing w:after="40" w:before="40"/>
      </w:pPr>
      <w:r>
        <w:rPr>
          <w:rFonts w:ascii="Calibri" w:cs="Calibri" w:eastAsia="Calibri" w:hAnsi="Calibri"/>
          <w:color w:val="1A1A1A"/>
          <w:sz w:val="22"/>
          <w:szCs w:val="22"/>
        </w:rPr>
        <w:t xml:space="preserve">Une intégration native de l'intelligence artificielle dans les fonctionnalités clés du produit</w:t>
      </w:r>
    </w:p>
    <w:p>
      <w:pPr>
        <w:spacing w:after="60" w:before="60"/>
      </w:pPr>
      <w:r>
        <w:t xml:space="preserve"/>
      </w:r>
    </w:p>
    <w:p>
      <w:pPr>
        <w:spacing w:after="80" w:before="180"/>
      </w:pPr>
      <w:r>
        <w:rPr>
          <w:rFonts w:ascii="Calibri" w:cs="Calibri" w:eastAsia="Calibri" w:hAnsi="Calibri"/>
          <w:b/>
          <w:bCs/>
          <w:color w:val="1F3A5F"/>
          <w:sz w:val="23"/>
          <w:szCs w:val="23"/>
        </w:rPr>
        <w:t xml:space="preserve">2.2 Parties en présence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CÉDANT</w:t>
            </w:r>
          </w:p>
        </w:tc>
        <w:tc>
          <w:tcPr>
            <w:tcW w:type="dxa" w:w="46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ACQUÉREUR</w:t>
            </w:r>
          </w:p>
        </w:tc>
      </w:tr>
      <w:tr>
        <w:tc>
          <w:tcPr>
            <w:tcW w:type="dxa" w:w="46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60" w:before="60"/>
              <w:jc w:val="left"/>
            </w:pPr>
            <w:r>
              <w:rPr>
                <w:rFonts w:ascii="Calibri" w:cs="Calibri" w:eastAsia="Calibri" w:hAnsi="Calibri"/>
                <w:b/>
                <w:bCs/>
                <w:i w:val="false"/>
                <w:iCs w:val="false"/>
                <w:color w:val="1A1A1A"/>
                <w:sz w:val="24"/>
                <w:szCs w:val="24"/>
              </w:rPr>
              <w:t xml:space="preserve">EYWAI SAS</w:t>
            </w:r>
          </w:p>
          <w:p>
            <w:pPr>
              <w:spacing w:after="60" w:before="60"/>
              <w:jc w:val="left"/>
            </w:pPr>
            <w:r>
              <w:rPr>
                <w:rFonts w:ascii="Calibri" w:cs="Calibri" w:eastAsia="Calibri" w:hAnsi="Calibri"/>
                <w:b w:val="false"/>
                <w:bCs w:val="false"/>
                <w:i w:val="false"/>
                <w:iCs w:val="false"/>
                <w:color w:val="1A1A1A"/>
                <w:sz w:val="22"/>
                <w:szCs w:val="22"/>
              </w:rPr>
              <w:t xml:space="preserve">Représentée par ses co-fondateurs</w:t>
            </w:r>
          </w:p>
          <w:p>
            <w:pPr>
              <w:spacing w:after="60" w:before="60"/>
              <w:jc w:val="left"/>
            </w:pPr>
            <w:r>
              <w:rPr>
                <w:rFonts w:ascii="Calibri" w:cs="Calibri" w:eastAsia="Calibri" w:hAnsi="Calibri"/>
                <w:b w:val="false"/>
                <w:bCs w:val="false"/>
                <w:i w:val="false"/>
                <w:iCs w:val="false"/>
                <w:color w:val="1A1A1A"/>
                <w:sz w:val="22"/>
                <w:szCs w:val="22"/>
              </w:rPr>
              <w:t xml:space="preserve">Forme juridique : [à compléter]</w:t>
            </w:r>
          </w:p>
          <w:p>
            <w:pPr>
              <w:spacing w:after="60" w:before="60"/>
              <w:jc w:val="left"/>
            </w:pPr>
            <w:r>
              <w:rPr>
                <w:rFonts w:ascii="Calibri" w:cs="Calibri" w:eastAsia="Calibri" w:hAnsi="Calibri"/>
                <w:b w:val="false"/>
                <w:bCs w:val="false"/>
                <w:i w:val="false"/>
                <w:iCs w:val="false"/>
                <w:color w:val="1A1A1A"/>
                <w:sz w:val="22"/>
                <w:szCs w:val="22"/>
              </w:rPr>
              <w:t xml:space="preserve">SIREN : [à compléter]</w:t>
            </w:r>
          </w:p>
          <w:p>
            <w:pPr>
              <w:spacing w:after="60" w:before="60"/>
              <w:jc w:val="left"/>
            </w:pPr>
            <w:r>
              <w:rPr>
                <w:rFonts w:ascii="Calibri" w:cs="Calibri" w:eastAsia="Calibri" w:hAnsi="Calibri"/>
                <w:b w:val="false"/>
                <w:bCs w:val="false"/>
                <w:i w:val="false"/>
                <w:iCs w:val="false"/>
                <w:color w:val="1A1A1A"/>
                <w:sz w:val="22"/>
                <w:szCs w:val="22"/>
              </w:rPr>
              <w:t xml:space="preserve">Siège social : [à compléter]</w:t>
            </w:r>
          </w:p>
        </w:tc>
        <w:tc>
          <w:tcPr>
            <w:tcW w:type="dxa" w:w="46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60" w:before="60"/>
              <w:jc w:val="left"/>
            </w:pPr>
            <w:r>
              <w:rPr>
                <w:rFonts w:ascii="Calibri" w:cs="Calibri" w:eastAsia="Calibri" w:hAnsi="Calibri"/>
                <w:b/>
                <w:bCs/>
                <w:i w:val="false"/>
                <w:iCs w:val="false"/>
                <w:color w:val="1A1A1A"/>
                <w:sz w:val="24"/>
                <w:szCs w:val="24"/>
              </w:rPr>
              <w:t xml:space="preserve">[Raison sociale acquéreur]</w:t>
            </w:r>
          </w:p>
          <w:p>
            <w:pPr>
              <w:spacing w:after="60" w:before="60"/>
              <w:jc w:val="left"/>
            </w:pPr>
            <w:r>
              <w:rPr>
                <w:rFonts w:ascii="Calibri" w:cs="Calibri" w:eastAsia="Calibri" w:hAnsi="Calibri"/>
                <w:b w:val="false"/>
                <w:bCs w:val="false"/>
                <w:i w:val="false"/>
                <w:iCs w:val="false"/>
                <w:color w:val="1A1A1A"/>
                <w:sz w:val="22"/>
                <w:szCs w:val="22"/>
              </w:rPr>
              <w:t xml:space="preserve">Représentée par : [à compléter]</w:t>
            </w:r>
          </w:p>
          <w:p>
            <w:pPr>
              <w:spacing w:after="60" w:before="60"/>
              <w:jc w:val="left"/>
            </w:pPr>
            <w:r>
              <w:rPr>
                <w:rFonts w:ascii="Calibri" w:cs="Calibri" w:eastAsia="Calibri" w:hAnsi="Calibri"/>
                <w:b w:val="false"/>
                <w:bCs w:val="false"/>
                <w:i w:val="false"/>
                <w:iCs w:val="false"/>
                <w:color w:val="1A1A1A"/>
                <w:sz w:val="22"/>
                <w:szCs w:val="22"/>
              </w:rPr>
              <w:t xml:space="preserve">Forme juridique : [à compléter]</w:t>
            </w:r>
          </w:p>
          <w:p>
            <w:pPr>
              <w:spacing w:after="60" w:before="60"/>
              <w:jc w:val="left"/>
            </w:pPr>
            <w:r>
              <w:rPr>
                <w:rFonts w:ascii="Calibri" w:cs="Calibri" w:eastAsia="Calibri" w:hAnsi="Calibri"/>
                <w:b w:val="false"/>
                <w:bCs w:val="false"/>
                <w:i w:val="false"/>
                <w:iCs w:val="false"/>
                <w:color w:val="1A1A1A"/>
                <w:sz w:val="22"/>
                <w:szCs w:val="22"/>
              </w:rPr>
              <w:t xml:space="preserve">SIREN : [à compléter]</w:t>
            </w:r>
          </w:p>
          <w:p>
            <w:pPr>
              <w:spacing w:after="60" w:before="60"/>
              <w:jc w:val="left"/>
            </w:pPr>
            <w:r>
              <w:rPr>
                <w:rFonts w:ascii="Calibri" w:cs="Calibri" w:eastAsia="Calibri" w:hAnsi="Calibri"/>
                <w:b w:val="false"/>
                <w:bCs w:val="false"/>
                <w:i w:val="false"/>
                <w:iCs w:val="false"/>
                <w:color w:val="1A1A1A"/>
                <w:sz w:val="22"/>
                <w:szCs w:val="22"/>
              </w:rPr>
              <w:t xml:space="preserve">Siège social : [à compléter]</w:t>
            </w:r>
          </w:p>
        </w:tc>
      </w:tr>
    </w:tbl>
    <w:p>
      <w:pPr>
        <w:spacing w:after="60" w:before="60"/>
      </w:pPr>
      <w:r>
        <w:t xml:space="preserve"/>
      </w:r>
    </w:p>
    <w:p>
      <w:pPr>
        <w:spacing w:after="80" w:before="180"/>
      </w:pPr>
      <w:r>
        <w:rPr>
          <w:rFonts w:ascii="Calibri" w:cs="Calibri" w:eastAsia="Calibri" w:hAnsi="Calibri"/>
          <w:b/>
          <w:bCs/>
          <w:color w:val="1F3A5F"/>
          <w:sz w:val="23"/>
          <w:szCs w:val="23"/>
        </w:rPr>
        <w:t xml:space="preserve">2.3 Périmètre de l'opération</w:t>
      </w:r>
    </w:p>
    <w:p>
      <w:pPr>
        <w:spacing w:after="60" w:before="60"/>
        <w:jc w:val="left"/>
      </w:pPr>
      <w:r>
        <w:rPr>
          <w:rFonts w:ascii="Calibri" w:cs="Calibri" w:eastAsia="Calibri" w:hAnsi="Calibri"/>
          <w:b w:val="false"/>
          <w:bCs w:val="false"/>
          <w:i w:val="false"/>
          <w:iCs w:val="false"/>
          <w:color w:val="1A1A1A"/>
          <w:sz w:val="22"/>
          <w:szCs w:val="22"/>
        </w:rPr>
        <w:t xml:space="preserve">L'opération consiste en une cession totale et définitive de la solution logicielle EYWAI par le cédant au profit de l'acquéreur, accompagnée des prestations de mise en œuvre et de formation nécessaires à son exploitation autonome. L'acquéreur deviendra à l'issue de l'opération le seul et unique titulaire des droits sur la solution.</w:t>
      </w:r>
    </w:p>
    <w:p>
      <w:r>
        <w:br w:type="page"/>
      </w:r>
    </w:p>
    <w:p>
      <w:pPr>
        <w:pStyle w:val="Heading1"/>
        <w:spacing w:after="160" w:before="360"/>
      </w:pPr>
      <w:r>
        <w:rPr>
          <w:rFonts w:ascii="Calibri" w:cs="Calibri" w:eastAsia="Calibri" w:hAnsi="Calibri"/>
          <w:b/>
          <w:bCs/>
          <w:color w:val="1F3A5F"/>
          <w:sz w:val="32"/>
          <w:szCs w:val="32"/>
        </w:rPr>
        <w:t xml:space="preserve">3. Scope fonctionnel de la solution cédée</w:t>
      </w:r>
    </w:p>
    <w:p>
      <w:pPr>
        <w:spacing w:after="60" w:before="60"/>
        <w:jc w:val="left"/>
      </w:pPr>
      <w:r>
        <w:rPr>
          <w:rFonts w:ascii="Calibri" w:cs="Calibri" w:eastAsia="Calibri" w:hAnsi="Calibri"/>
          <w:b w:val="false"/>
          <w:bCs w:val="false"/>
          <w:i w:val="false"/>
          <w:iCs w:val="false"/>
          <w:color w:val="1A1A1A"/>
          <w:sz w:val="22"/>
          <w:szCs w:val="22"/>
        </w:rPr>
        <w:t xml:space="preserve">La solution EYWAI cédée couvre l'intégralité des fonctionnalités développées et spécifiées durant les 12 mois de conception et de développement produit. Les fonctionnalités sont organisées autour d'un socle paie et de neuf packs métier complémentaires.</w:t>
      </w:r>
    </w:p>
    <w:p>
      <w:pPr>
        <w:spacing w:after="60" w:before="60"/>
      </w:pPr>
      <w:r>
        <w:t xml:space="preserve"/>
      </w:r>
    </w:p>
    <w:p>
      <w:pPr>
        <w:spacing w:after="80" w:before="180"/>
      </w:pPr>
      <w:r>
        <w:rPr>
          <w:rFonts w:ascii="Calibri" w:cs="Calibri" w:eastAsia="Calibri" w:hAnsi="Calibri"/>
          <w:b/>
          <w:bCs/>
          <w:color w:val="1F3A5F"/>
          <w:sz w:val="23"/>
          <w:szCs w:val="23"/>
        </w:rPr>
        <w:t xml:space="preserve">Vue d'ensemble des modules cédés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Module</w:t>
            </w:r>
          </w:p>
        </w:tc>
        <w:tc>
          <w:tcPr>
            <w:tcW w:type="dxa" w:w="6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Objet</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Socle Paie</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Fonctionnalités paie incluses dans toutes les formules</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Avenants &amp; Augmentations</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Simulateur, génération d'avenants, signature électronique</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Saisies &amp; Avances</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Gestion des saisies sur salaires et avances</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Recrutement (ATS)</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Kanban candidats, scoring, interfaçage paie</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Talent</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Entretiens, formation, matrice de compétences</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Social</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CSE, dialogue social, visites médicales</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Badgeuse &amp; Pointage</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Pointage, heures sup, géolocalisation</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Gestion des Temps</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Planning, absences, astreintes, remplacements</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Export &amp; Analytics</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Reporting, analytics, API, BI externe</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Expert-Comptable</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Accès multi-clients, intégrations comptables</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Module IA transverse</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Assistant conversationnel, automatisations, détection d'anomalies</w:t>
            </w:r>
          </w:p>
        </w:tc>
      </w:tr>
    </w:tbl>
    <w:p>
      <w:r>
        <w:br w:type="page"/>
      </w:r>
    </w:p>
    <w:p>
      <w:pPr>
        <w:pStyle w:val="Heading2"/>
        <w:spacing w:after="120" w:before="240"/>
      </w:pPr>
      <w:r>
        <w:rPr>
          <w:rFonts w:ascii="Calibri" w:cs="Calibri" w:eastAsia="Calibri" w:hAnsi="Calibri"/>
          <w:b/>
          <w:bCs/>
          <w:color w:val="2E75B6"/>
          <w:sz w:val="26"/>
          <w:szCs w:val="26"/>
        </w:rPr>
        <w:t xml:space="preserve">3.1 Socle Paie — inclus dans toutes les formules</w:t>
      </w:r>
    </w:p>
    <w:p>
      <w:pPr>
        <w:spacing w:after="40" w:before="40"/>
        <w:jc w:val="left"/>
      </w:pPr>
      <w:r>
        <w:rPr>
          <w:rFonts w:ascii="Calibri" w:cs="Calibri" w:hAnsi="Calibri"/>
          <w:i/>
          <w:iCs/>
          <w:color w:val="E8651A"/>
          <w:sz w:val="18"/>
          <w:szCs w:val="18"/>
        </w:rPr>
        <w:t xml:space="preserve">[ ANALYSE ] OK : bulletins, DSN XML, SEPA, portail salarié, Yousign. PARTIEL : transmission DSN (télédéclaration à confirmer), FEC strict, contrôleur DSN intelligent, checklist 80+. NON : DocuSign.</w:t>
      </w:r>
    </w:p>
    <w:p>
      <w:pPr>
        <w:spacing w:after="60" w:before="60"/>
        <w:jc w:val="left"/>
      </w:pPr>
      <w:r>
        <w:rPr>
          <w:rFonts w:ascii="Calibri" w:cs="Calibri" w:eastAsia="Calibri" w:hAnsi="Calibri"/>
          <w:b w:val="false"/>
          <w:bCs w:val="false"/>
          <w:i w:val="false"/>
          <w:iCs w:val="false"/>
          <w:color w:val="1A1A1A"/>
          <w:sz w:val="22"/>
          <w:szCs w:val="22"/>
        </w:rPr>
        <w:t xml:space="preserve">Le socle paie constitue le cœur de la solution. Il couvre l'ensemble des besoins réglementaires et opérationnels d'un traitement de paie complet.</w:t>
      </w:r>
    </w:p>
    <w:p>
      <w:pPr>
        <w:pStyle w:val="ListParagraph"/>
        <w:numPr>
          <w:ilvl w:val="0"/>
          <w:numId w:val="2"/>
        </w:numPr>
        <w:spacing w:after="40" w:before="40"/>
      </w:pPr>
      <w:r>
        <w:rPr>
          <w:rFonts w:ascii="Calibri" w:cs="Calibri" w:eastAsia="Calibri" w:hAnsi="Calibri"/>
          <w:color w:val="1A1A1A"/>
          <w:sz w:val="22"/>
          <w:szCs w:val="22"/>
        </w:rPr>
        <w:t xml:space="preserve">Gestion complète des bulletins de paie (calcul, édition, validation)</w:t>
      </w:r>
    </w:p>
    <w:p>
      <w:pPr>
        <w:pStyle w:val="ListParagraph"/>
        <w:numPr>
          <w:ilvl w:val="0"/>
          <w:numId w:val="2"/>
        </w:numPr>
        <w:spacing w:after="40" w:before="40"/>
      </w:pPr>
      <w:r>
        <w:rPr>
          <w:rFonts w:ascii="Calibri" w:cs="Calibri" w:eastAsia="Calibri" w:hAnsi="Calibri"/>
          <w:color w:val="1A1A1A"/>
          <w:sz w:val="22"/>
          <w:szCs w:val="22"/>
        </w:rPr>
        <w:t xml:space="preserve">Génération et transmission de la DSN (Déclaration Sociale Nominative)</w:t>
      </w:r>
    </w:p>
    <w:p>
      <w:pPr>
        <w:pStyle w:val="ListParagraph"/>
        <w:numPr>
          <w:ilvl w:val="0"/>
          <w:numId w:val="2"/>
        </w:numPr>
        <w:spacing w:after="40" w:before="40"/>
      </w:pPr>
      <w:r>
        <w:rPr>
          <w:rFonts w:ascii="Calibri" w:cs="Calibri" w:eastAsia="Calibri" w:hAnsi="Calibri"/>
          <w:color w:val="1A1A1A"/>
          <w:sz w:val="22"/>
          <w:szCs w:val="22"/>
        </w:rPr>
        <w:t xml:space="preserve">Portail salarié (consultation bulletins, documents, demandes)</w:t>
      </w:r>
    </w:p>
    <w:p>
      <w:pPr>
        <w:pStyle w:val="ListParagraph"/>
        <w:numPr>
          <w:ilvl w:val="0"/>
          <w:numId w:val="2"/>
        </w:numPr>
        <w:spacing w:after="40" w:before="40"/>
      </w:pPr>
      <w:r>
        <w:rPr>
          <w:rFonts w:ascii="Calibri" w:cs="Calibri" w:eastAsia="Calibri" w:hAnsi="Calibri"/>
          <w:color w:val="1A1A1A"/>
          <w:sz w:val="22"/>
          <w:szCs w:val="22"/>
        </w:rPr>
        <w:t xml:space="preserve">Gestion des fiches salariés complètes (identité, contrat, rémunération, congés)</w:t>
      </w:r>
    </w:p>
    <w:p>
      <w:pPr>
        <w:pStyle w:val="ListParagraph"/>
        <w:numPr>
          <w:ilvl w:val="0"/>
          <w:numId w:val="2"/>
        </w:numPr>
        <w:spacing w:after="40" w:before="40"/>
      </w:pPr>
      <w:r>
        <w:rPr>
          <w:rFonts w:ascii="Calibri" w:cs="Calibri" w:eastAsia="Calibri" w:hAnsi="Calibri"/>
          <w:color w:val="1A1A1A"/>
          <w:sz w:val="22"/>
          <w:szCs w:val="22"/>
        </w:rPr>
        <w:t xml:space="preserve">Gestion des absences et compteurs (congés payés, RTT, maladie)</w:t>
      </w:r>
    </w:p>
    <w:p>
      <w:pPr>
        <w:pStyle w:val="ListParagraph"/>
        <w:numPr>
          <w:ilvl w:val="0"/>
          <w:numId w:val="2"/>
        </w:numPr>
        <w:spacing w:after="40" w:before="40"/>
      </w:pPr>
      <w:r>
        <w:rPr>
          <w:rFonts w:ascii="Calibri" w:cs="Calibri" w:eastAsia="Calibri" w:hAnsi="Calibri"/>
          <w:color w:val="1A1A1A"/>
          <w:sz w:val="22"/>
          <w:szCs w:val="22"/>
        </w:rPr>
        <w:t xml:space="preserve">Gestion des heures supplémentaires et des primes</w:t>
      </w:r>
    </w:p>
    <w:p>
      <w:pPr>
        <w:pStyle w:val="ListParagraph"/>
        <w:numPr>
          <w:ilvl w:val="0"/>
          <w:numId w:val="2"/>
        </w:numPr>
        <w:spacing w:after="40" w:before="40"/>
      </w:pPr>
      <w:r>
        <w:rPr>
          <w:rFonts w:ascii="Calibri" w:cs="Calibri" w:eastAsia="Calibri" w:hAnsi="Calibri"/>
          <w:color w:val="1A1A1A"/>
          <w:sz w:val="22"/>
          <w:szCs w:val="22"/>
        </w:rPr>
        <w:t xml:space="preserve">Virements bancaires (génération des fichiers SEPA)</w:t>
      </w:r>
    </w:p>
    <w:p>
      <w:pPr>
        <w:pStyle w:val="ListParagraph"/>
        <w:numPr>
          <w:ilvl w:val="0"/>
          <w:numId w:val="2"/>
        </w:numPr>
        <w:spacing w:after="40" w:before="40"/>
      </w:pPr>
      <w:r>
        <w:rPr>
          <w:rFonts w:ascii="Calibri" w:cs="Calibri" w:eastAsia="Calibri" w:hAnsi="Calibri"/>
          <w:color w:val="1A1A1A"/>
          <w:sz w:val="22"/>
          <w:szCs w:val="22"/>
        </w:rPr>
        <w:t xml:space="preserve">Clôture de paie et archivage mensuel</w:t>
      </w:r>
    </w:p>
    <w:p>
      <w:pPr>
        <w:pStyle w:val="ListParagraph"/>
        <w:numPr>
          <w:ilvl w:val="0"/>
          <w:numId w:val="2"/>
        </w:numPr>
        <w:spacing w:after="40" w:before="40"/>
      </w:pPr>
      <w:r>
        <w:rPr>
          <w:rFonts w:ascii="Calibri" w:cs="Calibri" w:eastAsia="Calibri" w:hAnsi="Calibri"/>
          <w:color w:val="1A1A1A"/>
          <w:sz w:val="22"/>
          <w:szCs w:val="22"/>
        </w:rPr>
        <w:t xml:space="preserve">Exports standards : bulletins PDF, salariés CSV/Excel, DSN XML, historique paie</w:t>
      </w:r>
    </w:p>
    <w:p>
      <w:pPr>
        <w:pStyle w:val="ListParagraph"/>
        <w:numPr>
          <w:ilvl w:val="0"/>
          <w:numId w:val="2"/>
        </w:numPr>
        <w:spacing w:after="40" w:before="40"/>
      </w:pPr>
      <w:r>
        <w:rPr>
          <w:rFonts w:ascii="Calibri" w:cs="Calibri" w:eastAsia="Calibri" w:hAnsi="Calibri"/>
          <w:color w:val="1A1A1A"/>
          <w:sz w:val="22"/>
          <w:szCs w:val="22"/>
        </w:rPr>
        <w:t xml:space="preserve">Intégrations de base : comptabilité (FEC), banque, SIRH, signature électronique (Yousign)</w:t>
      </w:r>
    </w:p>
    <w:p>
      <w:pPr>
        <w:pStyle w:val="ListParagraph"/>
        <w:numPr>
          <w:ilvl w:val="0"/>
          <w:numId w:val="2"/>
        </w:numPr>
        <w:spacing w:after="40" w:before="40"/>
      </w:pPr>
      <w:r>
        <w:rPr>
          <w:rFonts w:ascii="Calibri" w:cs="Calibri" w:eastAsia="Calibri" w:hAnsi="Calibri"/>
          <w:color w:val="1A1A1A"/>
          <w:sz w:val="22"/>
          <w:szCs w:val="22"/>
        </w:rPr>
        <w:t xml:space="preserve">Checklist d'onboarding client structurée (8 sections, 80+ points de contrôle)</w:t>
      </w:r>
    </w:p>
    <w:p>
      <w:pPr>
        <w:pStyle w:val="ListParagraph"/>
        <w:numPr>
          <w:ilvl w:val="0"/>
          <w:numId w:val="2"/>
        </w:numPr>
        <w:spacing w:after="40" w:before="40"/>
      </w:pPr>
      <w:r>
        <w:rPr>
          <w:rFonts w:ascii="Calibri" w:cs="Calibri" w:eastAsia="Calibri" w:hAnsi="Calibri"/>
          <w:color w:val="1A1A1A"/>
          <w:sz w:val="22"/>
          <w:szCs w:val="22"/>
        </w:rPr>
        <w:t xml:space="preserve">Gestion multi-utilisateurs avec droits granulaires (RH, manager, salarié, admin)</w:t>
      </w:r>
    </w:p>
    <w:p>
      <w:pPr>
        <w:pStyle w:val="ListParagraph"/>
        <w:numPr>
          <w:ilvl w:val="0"/>
          <w:numId w:val="2"/>
        </w:numPr>
        <w:spacing w:after="40" w:before="40"/>
      </w:pPr>
      <w:r>
        <w:rPr>
          <w:rFonts w:ascii="Calibri" w:cs="Calibri" w:eastAsia="Calibri" w:hAnsi="Calibri"/>
          <w:color w:val="1A1A1A"/>
          <w:sz w:val="22"/>
          <w:szCs w:val="22"/>
        </w:rPr>
        <w:t xml:space="preserve">Maintien sur salaire : calcul automatique selon CCN et périodicité légale, gestion des sous-périodes, intégration automatique au bulletin de paie</w:t>
      </w:r>
    </w:p>
    <w:p>
      <w:pPr>
        <w:pStyle w:val="ListParagraph"/>
        <w:numPr>
          <w:ilvl w:val="0"/>
          <w:numId w:val="2"/>
        </w:numPr>
        <w:spacing w:after="40" w:before="40"/>
      </w:pPr>
      <w:r>
        <w:rPr>
          <w:rFonts w:ascii="Calibri" w:cs="Calibri" w:eastAsia="Calibri" w:hAnsi="Calibri"/>
          <w:color w:val="1A1A1A"/>
          <w:sz w:val="22"/>
          <w:szCs w:val="22"/>
        </w:rPr>
        <w:t xml:space="preserve">Comparaison bulletin M-1 : détection automatique des variations significatives entre bulletins consécutifs, rapport d’écarts avec seuils paramétrables, analyse de tendance masse salariale</w:t>
      </w:r>
    </w:p>
    <w:p>
      <w:pPr>
        <w:pStyle w:val="ListParagraph"/>
        <w:numPr>
          <w:ilvl w:val="0"/>
          <w:numId w:val="2"/>
        </w:numPr>
        <w:spacing w:after="40" w:before="40"/>
      </w:pPr>
      <w:r>
        <w:rPr>
          <w:rFonts w:ascii="Calibri" w:cs="Calibri" w:eastAsia="Calibri" w:hAnsi="Calibri"/>
          <w:color w:val="1A1A1A"/>
          <w:sz w:val="22"/>
          <w:szCs w:val="22"/>
        </w:rPr>
        <w:t xml:space="preserve">Module archivage et bibliothèque documentaire : stockage centralisé des documents RH (contrats, avenants, attestations, bulletins archivés), recherche full-text, gestion des droits d’accès par catégorie</w:t>
      </w:r>
    </w:p>
    <w:p>
      <w:pPr>
        <w:pStyle w:val="Heading2"/>
        <w:spacing w:after="120" w:before="240"/>
      </w:pPr>
      <w:r>
        <w:rPr>
          <w:rFonts w:ascii="Calibri" w:cs="Calibri" w:eastAsia="Calibri" w:hAnsi="Calibri"/>
          <w:b/>
          <w:bCs/>
          <w:color w:val="2E75B6"/>
          <w:sz w:val="26"/>
          <w:szCs w:val="26"/>
        </w:rPr>
        <w:t xml:space="preserve">3.2 Pack Avenants &amp; Augmentations</w:t>
      </w:r>
    </w:p>
    <w:p>
      <w:pPr>
        <w:spacing w:after="40" w:before="40"/>
        <w:jc w:val="left"/>
      </w:pPr>
      <w:r>
        <w:rPr>
          <w:rFonts w:ascii="Calibri" w:cs="Calibri" w:hAnsi="Calibri"/>
          <w:i/>
          <w:iCs/>
          <w:color w:val="E8651A"/>
          <w:sz w:val="18"/>
          <w:szCs w:val="18"/>
        </w:rPr>
        <w:t xml:space="preserve">[ ANALYSE ] OK : simulateur, comparaison, campagnes, PDF. PARTIEL : niveau industrialisation DocuSign + campagnes massives dépasse ce qui est visible dans le code.</w:t>
      </w:r>
    </w:p>
    <w:p>
      <w:pPr>
        <w:spacing w:after="80" w:before="180"/>
      </w:pPr>
      <w:r>
        <w:rPr>
          <w:rFonts w:ascii="Calibri" w:cs="Calibri" w:eastAsia="Calibri" w:hAnsi="Calibri"/>
          <w:b/>
          <w:bCs/>
          <w:color w:val="1F3A5F"/>
          <w:sz w:val="23"/>
          <w:szCs w:val="23"/>
        </w:rPr>
        <w:t xml:space="preserve">Simulateur d'augmentation individuelle</w:t>
      </w:r>
    </w:p>
    <w:p>
      <w:pPr>
        <w:pStyle w:val="ListParagraph"/>
        <w:numPr>
          <w:ilvl w:val="0"/>
          <w:numId w:val="2"/>
        </w:numPr>
        <w:spacing w:after="40" w:before="40"/>
      </w:pPr>
      <w:r>
        <w:rPr>
          <w:rFonts w:ascii="Calibri" w:cs="Calibri" w:eastAsia="Calibri" w:hAnsi="Calibri"/>
          <w:color w:val="1A1A1A"/>
          <w:sz w:val="22"/>
          <w:szCs w:val="22"/>
        </w:rPr>
        <w:t xml:space="preserve">Sélection individuelle de salariés dans la base</w:t>
      </w:r>
    </w:p>
    <w:p>
      <w:pPr>
        <w:pStyle w:val="ListParagraph"/>
        <w:numPr>
          <w:ilvl w:val="0"/>
          <w:numId w:val="2"/>
        </w:numPr>
        <w:spacing w:after="40" w:before="40"/>
      </w:pPr>
      <w:r>
        <w:rPr>
          <w:rFonts w:ascii="Calibri" w:cs="Calibri" w:eastAsia="Calibri" w:hAnsi="Calibri"/>
          <w:color w:val="1A1A1A"/>
          <w:sz w:val="22"/>
          <w:szCs w:val="22"/>
        </w:rPr>
        <w:t xml:space="preserve">Configuration d'augmentation par pourcentage ou montant fixe</w:t>
      </w:r>
    </w:p>
    <w:p>
      <w:pPr>
        <w:pStyle w:val="ListParagraph"/>
        <w:numPr>
          <w:ilvl w:val="0"/>
          <w:numId w:val="2"/>
        </w:numPr>
        <w:spacing w:after="40" w:before="40"/>
      </w:pPr>
      <w:r>
        <w:rPr>
          <w:rFonts w:ascii="Calibri" w:cs="Calibri" w:eastAsia="Calibri" w:hAnsi="Calibri"/>
          <w:color w:val="1A1A1A"/>
          <w:sz w:val="22"/>
          <w:szCs w:val="22"/>
        </w:rPr>
        <w:t xml:space="preserve">Prévisualisation temps réel des calculs (brut, net, charges patronales)</w:t>
      </w:r>
    </w:p>
    <w:p>
      <w:pPr>
        <w:pStyle w:val="ListParagraph"/>
        <w:numPr>
          <w:ilvl w:val="0"/>
          <w:numId w:val="2"/>
        </w:numPr>
        <w:spacing w:after="40" w:before="40"/>
      </w:pPr>
      <w:r>
        <w:rPr>
          <w:rFonts w:ascii="Calibri" w:cs="Calibri" w:eastAsia="Calibri" w:hAnsi="Calibri"/>
          <w:color w:val="1A1A1A"/>
          <w:sz w:val="22"/>
          <w:szCs w:val="22"/>
        </w:rPr>
        <w:t xml:space="preserve">Sauvegarde en brouillon et reprise ultérieure</w:t>
      </w:r>
    </w:p>
    <w:p>
      <w:pPr>
        <w:spacing w:after="80" w:before="180"/>
      </w:pPr>
      <w:r>
        <w:rPr>
          <w:rFonts w:ascii="Calibri" w:cs="Calibri" w:eastAsia="Calibri" w:hAnsi="Calibri"/>
          <w:b/>
          <w:bCs/>
          <w:color w:val="1F3A5F"/>
          <w:sz w:val="23"/>
          <w:szCs w:val="23"/>
        </w:rPr>
        <w:t xml:space="preserve">Traitement collectif et augmentations en masse</w:t>
      </w:r>
    </w:p>
    <w:p>
      <w:pPr>
        <w:pStyle w:val="ListParagraph"/>
        <w:numPr>
          <w:ilvl w:val="0"/>
          <w:numId w:val="2"/>
        </w:numPr>
        <w:spacing w:after="40" w:before="40"/>
      </w:pPr>
      <w:r>
        <w:rPr>
          <w:rFonts w:ascii="Calibri" w:cs="Calibri" w:eastAsia="Calibri" w:hAnsi="Calibri"/>
          <w:color w:val="1A1A1A"/>
          <w:sz w:val="22"/>
          <w:szCs w:val="22"/>
        </w:rPr>
        <w:t xml:space="preserve">Filtres multi-critères sur la base salariés (ancienneté, service, coefficient, CCN)</w:t>
      </w:r>
    </w:p>
    <w:p>
      <w:pPr>
        <w:pStyle w:val="ListParagraph"/>
        <w:numPr>
          <w:ilvl w:val="0"/>
          <w:numId w:val="2"/>
        </w:numPr>
        <w:spacing w:after="40" w:before="40"/>
      </w:pPr>
      <w:r>
        <w:rPr>
          <w:rFonts w:ascii="Calibri" w:cs="Calibri" w:eastAsia="Calibri" w:hAnsi="Calibri"/>
          <w:color w:val="1A1A1A"/>
          <w:sz w:val="22"/>
          <w:szCs w:val="22"/>
        </w:rPr>
        <w:t xml:space="preserve">Augmentations groupées avec prévisualisation de l'impact sur la masse salariale</w:t>
      </w:r>
    </w:p>
    <w:p>
      <w:pPr>
        <w:pStyle w:val="ListParagraph"/>
        <w:numPr>
          <w:ilvl w:val="0"/>
          <w:numId w:val="2"/>
        </w:numPr>
        <w:spacing w:after="40" w:before="40"/>
      </w:pPr>
      <w:r>
        <w:rPr>
          <w:rFonts w:ascii="Calibri" w:cs="Calibri" w:eastAsia="Calibri" w:hAnsi="Calibri"/>
          <w:color w:val="1A1A1A"/>
          <w:sz w:val="22"/>
          <w:szCs w:val="22"/>
        </w:rPr>
        <w:t xml:space="preserve">Comparatif avant/après au niveau équipe et entreprise</w:t>
      </w:r>
    </w:p>
    <w:p>
      <w:pPr>
        <w:spacing w:after="80" w:before="180"/>
      </w:pPr>
      <w:r>
        <w:rPr>
          <w:rFonts w:ascii="Calibri" w:cs="Calibri" w:eastAsia="Calibri" w:hAnsi="Calibri"/>
          <w:b/>
          <w:bCs/>
          <w:color w:val="1F3A5F"/>
          <w:sz w:val="23"/>
          <w:szCs w:val="23"/>
        </w:rPr>
        <w:t xml:space="preserve">Génération automatisée des avenants</w:t>
      </w:r>
    </w:p>
    <w:p>
      <w:pPr>
        <w:pStyle w:val="ListParagraph"/>
        <w:numPr>
          <w:ilvl w:val="0"/>
          <w:numId w:val="2"/>
        </w:numPr>
        <w:spacing w:after="40" w:before="40"/>
      </w:pPr>
      <w:r>
        <w:rPr>
          <w:rFonts w:ascii="Calibri" w:cs="Calibri" w:eastAsia="Calibri" w:hAnsi="Calibri"/>
          <w:color w:val="1A1A1A"/>
          <w:sz w:val="22"/>
          <w:szCs w:val="22"/>
        </w:rPr>
        <w:t xml:space="preserve">Templates d'avenants au format Word paramétrables</w:t>
      </w:r>
    </w:p>
    <w:p>
      <w:pPr>
        <w:pStyle w:val="ListParagraph"/>
        <w:numPr>
          <w:ilvl w:val="0"/>
          <w:numId w:val="2"/>
        </w:numPr>
        <w:spacing w:after="40" w:before="40"/>
      </w:pPr>
      <w:r>
        <w:rPr>
          <w:rFonts w:ascii="Calibri" w:cs="Calibri" w:eastAsia="Calibri" w:hAnsi="Calibri"/>
          <w:color w:val="1A1A1A"/>
          <w:sz w:val="22"/>
          <w:szCs w:val="22"/>
        </w:rPr>
        <w:t xml:space="preserve">Génération PDF prête à signature</w:t>
      </w:r>
    </w:p>
    <w:p>
      <w:pPr>
        <w:pStyle w:val="ListParagraph"/>
        <w:numPr>
          <w:ilvl w:val="0"/>
          <w:numId w:val="2"/>
        </w:numPr>
        <w:spacing w:after="40" w:before="40"/>
      </w:pPr>
      <w:r>
        <w:rPr>
          <w:rFonts w:ascii="Calibri" w:cs="Calibri" w:eastAsia="Calibri" w:hAnsi="Calibri"/>
          <w:color w:val="1A1A1A"/>
          <w:sz w:val="22"/>
          <w:szCs w:val="22"/>
        </w:rPr>
        <w:t xml:space="preserve">Upload de signature manuscrite ou signature électronique (DocuSign, Yousign)</w:t>
      </w:r>
    </w:p>
    <w:p>
      <w:pPr>
        <w:pStyle w:val="ListParagraph"/>
        <w:numPr>
          <w:ilvl w:val="0"/>
          <w:numId w:val="2"/>
        </w:numPr>
        <w:spacing w:after="40" w:before="40"/>
      </w:pPr>
      <w:r>
        <w:rPr>
          <w:rFonts w:ascii="Calibri" w:cs="Calibri" w:eastAsia="Calibri" w:hAnsi="Calibri"/>
          <w:color w:val="1A1A1A"/>
          <w:sz w:val="22"/>
          <w:szCs w:val="22"/>
        </w:rPr>
        <w:t xml:space="preserve">Génération d'avenants en lot pour les campagnes d'augmentation</w:t>
      </w:r>
    </w:p>
    <w:p>
      <w:pPr>
        <w:pStyle w:val="ListParagraph"/>
        <w:numPr>
          <w:ilvl w:val="0"/>
          <w:numId w:val="2"/>
        </w:numPr>
        <w:spacing w:after="40" w:before="40"/>
      </w:pPr>
      <w:r>
        <w:rPr>
          <w:rFonts w:ascii="Calibri" w:cs="Calibri" w:eastAsia="Calibri" w:hAnsi="Calibri"/>
          <w:color w:val="1A1A1A"/>
          <w:sz w:val="22"/>
          <w:szCs w:val="22"/>
        </w:rPr>
        <w:t xml:space="preserve">Tableau de bord de suivi des avenants émis et signés</w:t>
      </w:r>
    </w:p>
    <w:p>
      <w:pPr>
        <w:spacing w:after="80" w:before="180"/>
      </w:pPr>
      <w:r>
        <w:rPr>
          <w:rFonts w:ascii="Calibri" w:cs="Calibri" w:eastAsia="Calibri" w:hAnsi="Calibri"/>
          <w:b/>
          <w:bCs/>
          <w:color w:val="1F3A5F"/>
          <w:sz w:val="23"/>
          <w:szCs w:val="23"/>
        </w:rPr>
        <w:t xml:space="preserve">Intégration au flux de paie</w:t>
      </w:r>
    </w:p>
    <w:p>
      <w:pPr>
        <w:pStyle w:val="ListParagraph"/>
        <w:numPr>
          <w:ilvl w:val="0"/>
          <w:numId w:val="2"/>
        </w:numPr>
        <w:spacing w:after="40" w:before="40"/>
      </w:pPr>
      <w:r>
        <w:rPr>
          <w:rFonts w:ascii="Calibri" w:cs="Calibri" w:eastAsia="Calibri" w:hAnsi="Calibri"/>
          <w:color w:val="1A1A1A"/>
          <w:sz w:val="22"/>
          <w:szCs w:val="22"/>
        </w:rPr>
        <w:t xml:space="preserve">Mise à jour automatique de la fiche salarié après signature</w:t>
      </w:r>
    </w:p>
    <w:p>
      <w:pPr>
        <w:pStyle w:val="ListParagraph"/>
        <w:numPr>
          <w:ilvl w:val="0"/>
          <w:numId w:val="2"/>
        </w:numPr>
        <w:spacing w:after="40" w:before="40"/>
      </w:pPr>
      <w:r>
        <w:rPr>
          <w:rFonts w:ascii="Calibri" w:cs="Calibri" w:eastAsia="Calibri" w:hAnsi="Calibri"/>
          <w:color w:val="1A1A1A"/>
          <w:sz w:val="22"/>
          <w:szCs w:val="22"/>
        </w:rPr>
        <w:t xml:space="preserve">Historique horodaté des modifications</w:t>
      </w:r>
    </w:p>
    <w:p>
      <w:pPr>
        <w:pStyle w:val="ListParagraph"/>
        <w:numPr>
          <w:ilvl w:val="0"/>
          <w:numId w:val="2"/>
        </w:numPr>
        <w:spacing w:after="40" w:before="40"/>
      </w:pPr>
      <w:r>
        <w:rPr>
          <w:rFonts w:ascii="Calibri" w:cs="Calibri" w:eastAsia="Calibri" w:hAnsi="Calibri"/>
          <w:color w:val="1A1A1A"/>
          <w:sz w:val="22"/>
          <w:szCs w:val="22"/>
        </w:rPr>
        <w:t xml:space="preserve">Impact calculé sur les bulletins du mois en cours</w:t>
      </w:r>
    </w:p>
    <w:p>
      <w:pPr>
        <w:pStyle w:val="ListParagraph"/>
        <w:numPr>
          <w:ilvl w:val="0"/>
          <w:numId w:val="2"/>
        </w:numPr>
        <w:spacing w:after="40" w:before="40"/>
      </w:pPr>
      <w:r>
        <w:rPr>
          <w:rFonts w:ascii="Calibri" w:cs="Calibri" w:eastAsia="Calibri" w:hAnsi="Calibri"/>
          <w:color w:val="1A1A1A"/>
          <w:sz w:val="22"/>
          <w:szCs w:val="22"/>
        </w:rPr>
        <w:t xml:space="preserve">Notifications automatiques aux salariés concernés</w:t>
      </w:r>
    </w:p>
    <w:p>
      <w:r>
        <w:br w:type="page"/>
      </w:r>
    </w:p>
    <w:p>
      <w:pPr>
        <w:pStyle w:val="Heading2"/>
        <w:spacing w:after="120" w:before="240"/>
      </w:pPr>
      <w:r>
        <w:rPr>
          <w:rFonts w:ascii="Calibri" w:cs="Calibri" w:eastAsia="Calibri" w:hAnsi="Calibri"/>
          <w:b/>
          <w:bCs/>
          <w:color w:val="2E75B6"/>
          <w:sz w:val="26"/>
          <w:szCs w:val="26"/>
        </w:rPr>
        <w:t xml:space="preserve">3.3 Pack Saisies &amp; Avances sur salaires</w:t>
      </w:r>
    </w:p>
    <w:p>
      <w:pPr>
        <w:spacing w:after="40" w:before="40"/>
        <w:jc w:val="left"/>
      </w:pPr>
      <w:r>
        <w:rPr>
          <w:rFonts w:ascii="Calibri" w:cs="Calibri" w:hAnsi="Calibri"/>
          <w:i/>
          <w:iCs/>
          <w:color w:val="E8651A"/>
          <w:sz w:val="18"/>
          <w:szCs w:val="18"/>
        </w:rPr>
        <w:t xml:space="preserve">[ ANALYSE ] OK : routes /salary-seizures et /salary-advances. PARTIEL : barème légal, priorités, comptes DSN S21.G00.50 et écritures 421/467/425 — revue métier requise avant livraison.</w:t>
      </w:r>
    </w:p>
    <w:p>
      <w:pPr>
        <w:spacing w:after="80" w:before="180"/>
      </w:pPr>
      <w:r>
        <w:rPr>
          <w:rFonts w:ascii="Calibri" w:cs="Calibri" w:eastAsia="Calibri" w:hAnsi="Calibri"/>
          <w:b/>
          <w:bCs/>
          <w:color w:val="1F3A5F"/>
          <w:sz w:val="23"/>
          <w:szCs w:val="23"/>
        </w:rPr>
        <w:t xml:space="preserve">Saisies sur salaires</w:t>
      </w:r>
    </w:p>
    <w:p>
      <w:pPr>
        <w:pStyle w:val="ListParagraph"/>
        <w:numPr>
          <w:ilvl w:val="0"/>
          <w:numId w:val="2"/>
        </w:numPr>
        <w:spacing w:after="40" w:before="40"/>
      </w:pPr>
      <w:r>
        <w:rPr>
          <w:rFonts w:ascii="Calibri" w:cs="Calibri" w:eastAsia="Calibri" w:hAnsi="Calibri"/>
          <w:color w:val="1A1A1A"/>
          <w:sz w:val="22"/>
          <w:szCs w:val="22"/>
        </w:rPr>
        <w:t xml:space="preserve">Enregistrement des saisies suite à notification du tribunal (n° RG, créancier, type)</w:t>
      </w:r>
    </w:p>
    <w:p>
      <w:pPr>
        <w:pStyle w:val="ListParagraph"/>
        <w:numPr>
          <w:ilvl w:val="0"/>
          <w:numId w:val="2"/>
        </w:numPr>
        <w:spacing w:after="40" w:before="40"/>
      </w:pPr>
      <w:r>
        <w:rPr>
          <w:rFonts w:ascii="Calibri" w:cs="Calibri" w:eastAsia="Calibri" w:hAnsi="Calibri"/>
          <w:color w:val="1A1A1A"/>
          <w:sz w:val="22"/>
          <w:szCs w:val="22"/>
        </w:rPr>
        <w:t xml:space="preserve">Calcul automatique de la quotité saisissable selon le barème légal en vigueur</w:t>
      </w:r>
    </w:p>
    <w:p>
      <w:pPr>
        <w:pStyle w:val="ListParagraph"/>
        <w:numPr>
          <w:ilvl w:val="0"/>
          <w:numId w:val="2"/>
        </w:numPr>
        <w:spacing w:after="40" w:before="40"/>
      </w:pPr>
      <w:r>
        <w:rPr>
          <w:rFonts w:ascii="Calibri" w:cs="Calibri" w:eastAsia="Calibri" w:hAnsi="Calibri"/>
          <w:color w:val="1A1A1A"/>
          <w:sz w:val="22"/>
          <w:szCs w:val="22"/>
        </w:rPr>
        <w:t xml:space="preserve">Gestion des priorités entre saisies multiples (pension alimentaire &gt; ATD &gt; saisie-arrêt)</w:t>
      </w:r>
    </w:p>
    <w:p>
      <w:pPr>
        <w:pStyle w:val="ListParagraph"/>
        <w:numPr>
          <w:ilvl w:val="0"/>
          <w:numId w:val="2"/>
        </w:numPr>
        <w:spacing w:after="40" w:before="40"/>
      </w:pPr>
      <w:r>
        <w:rPr>
          <w:rFonts w:ascii="Calibri" w:cs="Calibri" w:eastAsia="Calibri" w:hAnsi="Calibri"/>
          <w:color w:val="1A1A1A"/>
          <w:sz w:val="22"/>
          <w:szCs w:val="22"/>
        </w:rPr>
        <w:t xml:space="preserve">Prélèvement automatique sur bulletin avec ligne dédiée</w:t>
      </w:r>
    </w:p>
    <w:p>
      <w:pPr>
        <w:pStyle w:val="ListParagraph"/>
        <w:numPr>
          <w:ilvl w:val="0"/>
          <w:numId w:val="2"/>
        </w:numPr>
        <w:spacing w:after="40" w:before="40"/>
      </w:pPr>
      <w:r>
        <w:rPr>
          <w:rFonts w:ascii="Calibri" w:cs="Calibri" w:eastAsia="Calibri" w:hAnsi="Calibri"/>
          <w:color w:val="1A1A1A"/>
          <w:sz w:val="22"/>
          <w:szCs w:val="22"/>
        </w:rPr>
        <w:t xml:space="preserve">Suivi du reste dû et clôture automatique à extinction de la dette</w:t>
      </w:r>
    </w:p>
    <w:p>
      <w:pPr>
        <w:pStyle w:val="ListParagraph"/>
        <w:numPr>
          <w:ilvl w:val="0"/>
          <w:numId w:val="2"/>
        </w:numPr>
        <w:spacing w:after="40" w:before="40"/>
      </w:pPr>
      <w:r>
        <w:rPr>
          <w:rFonts w:ascii="Calibri" w:cs="Calibri" w:eastAsia="Calibri" w:hAnsi="Calibri"/>
          <w:color w:val="1A1A1A"/>
          <w:sz w:val="22"/>
          <w:szCs w:val="22"/>
        </w:rPr>
        <w:t xml:space="preserve">Gestion des statuts (active, suspendue, terminée, annulée)</w:t>
      </w:r>
    </w:p>
    <w:p>
      <w:pPr>
        <w:pStyle w:val="ListParagraph"/>
        <w:numPr>
          <w:ilvl w:val="0"/>
          <w:numId w:val="2"/>
        </w:numPr>
        <w:spacing w:after="40" w:before="40"/>
      </w:pPr>
      <w:r>
        <w:rPr>
          <w:rFonts w:ascii="Calibri" w:cs="Calibri" w:eastAsia="Calibri" w:hAnsi="Calibri"/>
          <w:color w:val="1A1A1A"/>
          <w:sz w:val="22"/>
          <w:szCs w:val="22"/>
        </w:rPr>
        <w:t xml:space="preserve">Génération des écritures comptables (comptes 421 / 467)</w:t>
      </w:r>
    </w:p>
    <w:p>
      <w:pPr>
        <w:pStyle w:val="ListParagraph"/>
        <w:numPr>
          <w:ilvl w:val="0"/>
          <w:numId w:val="2"/>
        </w:numPr>
        <w:spacing w:after="40" w:before="40"/>
      </w:pPr>
      <w:r>
        <w:rPr>
          <w:rFonts w:ascii="Calibri" w:cs="Calibri" w:eastAsia="Calibri" w:hAnsi="Calibri"/>
          <w:color w:val="1A1A1A"/>
          <w:sz w:val="22"/>
          <w:szCs w:val="22"/>
        </w:rPr>
        <w:t xml:space="preserve">Intégration DSN (bloc S21.G00.50)</w:t>
      </w:r>
    </w:p>
    <w:p>
      <w:pPr>
        <w:spacing w:after="80" w:before="180"/>
      </w:pPr>
      <w:r>
        <w:rPr>
          <w:rFonts w:ascii="Calibri" w:cs="Calibri" w:eastAsia="Calibri" w:hAnsi="Calibri"/>
          <w:b/>
          <w:bCs/>
          <w:color w:val="1F3A5F"/>
          <w:sz w:val="23"/>
          <w:szCs w:val="23"/>
        </w:rPr>
        <w:t xml:space="preserve">Avances sur salaires</w:t>
      </w:r>
    </w:p>
    <w:p>
      <w:pPr>
        <w:pStyle w:val="ListParagraph"/>
        <w:numPr>
          <w:ilvl w:val="0"/>
          <w:numId w:val="2"/>
        </w:numPr>
        <w:spacing w:after="40" w:before="40"/>
      </w:pPr>
      <w:r>
        <w:rPr>
          <w:rFonts w:ascii="Calibri" w:cs="Calibri" w:eastAsia="Calibri" w:hAnsi="Calibri"/>
          <w:color w:val="1A1A1A"/>
          <w:sz w:val="22"/>
          <w:szCs w:val="22"/>
        </w:rPr>
        <w:t xml:space="preserve">Demande d'avance depuis le portail salarié</w:t>
      </w:r>
    </w:p>
    <w:p>
      <w:pPr>
        <w:pStyle w:val="ListParagraph"/>
        <w:numPr>
          <w:ilvl w:val="0"/>
          <w:numId w:val="2"/>
        </w:numPr>
        <w:spacing w:after="40" w:before="40"/>
      </w:pPr>
      <w:r>
        <w:rPr>
          <w:rFonts w:ascii="Calibri" w:cs="Calibri" w:eastAsia="Calibri" w:hAnsi="Calibri"/>
          <w:color w:val="1A1A1A"/>
          <w:sz w:val="22"/>
          <w:szCs w:val="22"/>
        </w:rPr>
        <w:t xml:space="preserve">Calcul automatique de l'éligibilité (jours travaillés, salaire accumulé)</w:t>
      </w:r>
    </w:p>
    <w:p>
      <w:pPr>
        <w:pStyle w:val="ListParagraph"/>
        <w:numPr>
          <w:ilvl w:val="0"/>
          <w:numId w:val="2"/>
        </w:numPr>
        <w:spacing w:after="40" w:before="40"/>
      </w:pPr>
      <w:r>
        <w:rPr>
          <w:rFonts w:ascii="Calibri" w:cs="Calibri" w:eastAsia="Calibri" w:hAnsi="Calibri"/>
          <w:color w:val="1A1A1A"/>
          <w:sz w:val="22"/>
          <w:szCs w:val="22"/>
        </w:rPr>
        <w:t xml:space="preserve">Plafond configurable (50 % par défaut des jours travaillés)</w:t>
      </w:r>
    </w:p>
    <w:p>
      <w:pPr>
        <w:pStyle w:val="ListParagraph"/>
        <w:numPr>
          <w:ilvl w:val="0"/>
          <w:numId w:val="2"/>
        </w:numPr>
        <w:spacing w:after="40" w:before="40"/>
      </w:pPr>
      <w:r>
        <w:rPr>
          <w:rFonts w:ascii="Calibri" w:cs="Calibri" w:eastAsia="Calibri" w:hAnsi="Calibri"/>
          <w:color w:val="1A1A1A"/>
          <w:sz w:val="22"/>
          <w:szCs w:val="22"/>
        </w:rPr>
        <w:t xml:space="preserve">Workflow de validation RH (accepter / refuser avec motif)</w:t>
      </w:r>
    </w:p>
    <w:p>
      <w:pPr>
        <w:pStyle w:val="ListParagraph"/>
        <w:numPr>
          <w:ilvl w:val="0"/>
          <w:numId w:val="2"/>
        </w:numPr>
        <w:spacing w:after="40" w:before="40"/>
      </w:pPr>
      <w:r>
        <w:rPr>
          <w:rFonts w:ascii="Calibri" w:cs="Calibri" w:eastAsia="Calibri" w:hAnsi="Calibri"/>
          <w:color w:val="1A1A1A"/>
          <w:sz w:val="22"/>
          <w:szCs w:val="22"/>
        </w:rPr>
        <w:t xml:space="preserve">Notifications email automatiques (demande, validation, refus, versement)</w:t>
      </w:r>
    </w:p>
    <w:p>
      <w:pPr>
        <w:pStyle w:val="ListParagraph"/>
        <w:numPr>
          <w:ilvl w:val="0"/>
          <w:numId w:val="2"/>
        </w:numPr>
        <w:spacing w:after="40" w:before="40"/>
      </w:pPr>
      <w:r>
        <w:rPr>
          <w:rFonts w:ascii="Calibri" w:cs="Calibri" w:eastAsia="Calibri" w:hAnsi="Calibri"/>
          <w:color w:val="1A1A1A"/>
          <w:sz w:val="22"/>
          <w:szCs w:val="22"/>
        </w:rPr>
        <w:t xml:space="preserve">Remboursement automatique déduit du bulletin de paie du mois</w:t>
      </w:r>
    </w:p>
    <w:p>
      <w:pPr>
        <w:pStyle w:val="ListParagraph"/>
        <w:numPr>
          <w:ilvl w:val="0"/>
          <w:numId w:val="2"/>
        </w:numPr>
        <w:spacing w:after="40" w:before="40"/>
      </w:pPr>
      <w:r>
        <w:rPr>
          <w:rFonts w:ascii="Calibri" w:cs="Calibri" w:eastAsia="Calibri" w:hAnsi="Calibri"/>
          <w:color w:val="1A1A1A"/>
          <w:sz w:val="22"/>
          <w:szCs w:val="22"/>
        </w:rPr>
        <w:t xml:space="preserve">Déduction automatique du solde de tout compte en cas de départ avec avance en cours</w:t>
      </w:r>
    </w:p>
    <w:p>
      <w:pPr>
        <w:pStyle w:val="ListParagraph"/>
        <w:numPr>
          <w:ilvl w:val="0"/>
          <w:numId w:val="2"/>
        </w:numPr>
        <w:spacing w:after="40" w:before="40"/>
      </w:pPr>
      <w:r>
        <w:rPr>
          <w:rFonts w:ascii="Calibri" w:cs="Calibri" w:eastAsia="Calibri" w:hAnsi="Calibri"/>
          <w:color w:val="1A1A1A"/>
          <w:sz w:val="22"/>
          <w:szCs w:val="22"/>
        </w:rPr>
        <w:t xml:space="preserve">Écritures comptables automatisées (comptes 425 / 512 / 421)</w:t>
      </w:r>
    </w:p>
    <w:p>
      <w:pPr>
        <w:pStyle w:val="ListParagraph"/>
        <w:numPr>
          <w:ilvl w:val="0"/>
          <w:numId w:val="2"/>
        </w:numPr>
        <w:spacing w:after="40" w:before="40"/>
      </w:pPr>
      <w:r>
        <w:rPr>
          <w:rFonts w:ascii="Calibri" w:cs="Calibri" w:eastAsia="Calibri" w:hAnsi="Calibri"/>
          <w:color w:val="1A1A1A"/>
          <w:sz w:val="22"/>
          <w:szCs w:val="22"/>
        </w:rPr>
        <w:t xml:space="preserve">Dashboard RH de suivi (en attente, validées, versées, remboursées)</w:t>
      </w:r>
    </w:p>
    <w:p>
      <w:pPr>
        <w:pStyle w:val="Heading2"/>
        <w:spacing w:after="120" w:before="240"/>
      </w:pPr>
      <w:r>
        <w:rPr>
          <w:rFonts w:ascii="Calibri" w:cs="Calibri" w:eastAsia="Calibri" w:hAnsi="Calibri"/>
          <w:b/>
          <w:bCs/>
          <w:color w:val="2E75B6"/>
          <w:sz w:val="26"/>
          <w:szCs w:val="26"/>
        </w:rPr>
        <w:t xml:space="preserve">3.4 Pack Recrutement (ATS)</w:t>
      </w:r>
    </w:p>
    <w:p>
      <w:pPr>
        <w:spacing w:after="40" w:before="40"/>
        <w:jc w:val="left"/>
      </w:pPr>
      <w:r>
        <w:rPr>
          <w:rFonts w:ascii="Calibri" w:cs="Calibri" w:hAnsi="Calibri"/>
          <w:i/>
          <w:iCs/>
          <w:color w:val="E8651A"/>
          <w:sz w:val="18"/>
          <w:szCs w:val="18"/>
        </w:rPr>
        <w:t xml:space="preserve">[ ANALYSE ] OK : kanban, pipeline candidats, embauche → salarié. NON : multi-jobboards, scoring IA, notes audio entretien. PARTIEL : analytics time-to-hire.</w:t>
      </w:r>
    </w:p>
    <w:p>
      <w:pPr>
        <w:spacing w:after="80" w:before="180"/>
      </w:pPr>
      <w:r>
        <w:rPr>
          <w:rFonts w:ascii="Calibri" w:cs="Calibri" w:eastAsia="Calibri" w:hAnsi="Calibri"/>
          <w:b/>
          <w:bCs/>
          <w:color w:val="1F3A5F"/>
          <w:sz w:val="23"/>
          <w:szCs w:val="23"/>
        </w:rPr>
        <w:t xml:space="preserve">Pipeline candidats Kanban</w:t>
      </w:r>
    </w:p>
    <w:p>
      <w:pPr>
        <w:pStyle w:val="ListParagraph"/>
        <w:numPr>
          <w:ilvl w:val="0"/>
          <w:numId w:val="2"/>
        </w:numPr>
        <w:spacing w:after="40" w:before="40"/>
      </w:pPr>
      <w:r>
        <w:rPr>
          <w:rFonts w:ascii="Calibri" w:cs="Calibri" w:eastAsia="Calibri" w:hAnsi="Calibri"/>
          <w:color w:val="1A1A1A"/>
          <w:sz w:val="22"/>
          <w:szCs w:val="22"/>
        </w:rPr>
        <w:t xml:space="preserve">Vue Kanban des candidatures par statut (premier appel, entretien 1, entretien 2, entretien X, refusé, recruté)</w:t>
      </w:r>
    </w:p>
    <w:p>
      <w:pPr>
        <w:pStyle w:val="ListParagraph"/>
        <w:numPr>
          <w:ilvl w:val="0"/>
          <w:numId w:val="2"/>
        </w:numPr>
        <w:spacing w:after="40" w:before="40"/>
      </w:pPr>
      <w:r>
        <w:rPr>
          <w:rFonts w:ascii="Calibri" w:cs="Calibri" w:eastAsia="Calibri" w:hAnsi="Calibri"/>
          <w:color w:val="1A1A1A"/>
          <w:sz w:val="22"/>
          <w:szCs w:val="22"/>
        </w:rPr>
        <w:t xml:space="preserve">Création de fiches candidats complètes (nom, prénom, disponibilité, prétention salariale, CV, lettre, contact)</w:t>
      </w:r>
    </w:p>
    <w:p>
      <w:pPr>
        <w:pStyle w:val="ListParagraph"/>
        <w:numPr>
          <w:ilvl w:val="0"/>
          <w:numId w:val="2"/>
        </w:numPr>
        <w:spacing w:after="40" w:before="40"/>
      </w:pPr>
      <w:r>
        <w:rPr>
          <w:rFonts w:ascii="Calibri" w:cs="Calibri" w:eastAsia="Calibri" w:hAnsi="Calibri"/>
          <w:color w:val="1A1A1A"/>
          <w:sz w:val="22"/>
          <w:szCs w:val="22"/>
        </w:rPr>
        <w:t xml:space="preserve">Zone de notes d'entretien avec enregistrement audio optionnel</w:t>
      </w:r>
    </w:p>
    <w:p>
      <w:pPr>
        <w:pStyle w:val="ListParagraph"/>
        <w:numPr>
          <w:ilvl w:val="0"/>
          <w:numId w:val="2"/>
        </w:numPr>
        <w:spacing w:after="40" w:before="40"/>
      </w:pPr>
      <w:r>
        <w:rPr>
          <w:rFonts w:ascii="Calibri" w:cs="Calibri" w:eastAsia="Calibri" w:hAnsi="Calibri"/>
          <w:color w:val="1A1A1A"/>
          <w:sz w:val="22"/>
          <w:szCs w:val="22"/>
        </w:rPr>
        <w:t xml:space="preserve">Workflow collaboratif entre RH et managers</w:t>
      </w:r>
    </w:p>
    <w:p>
      <w:pPr>
        <w:pStyle w:val="ListParagraph"/>
        <w:numPr>
          <w:ilvl w:val="0"/>
          <w:numId w:val="2"/>
        </w:numPr>
        <w:spacing w:after="40" w:before="40"/>
      </w:pPr>
      <w:r>
        <w:rPr>
          <w:rFonts w:ascii="Calibri" w:cs="Calibri" w:eastAsia="Calibri" w:hAnsi="Calibri"/>
          <w:color w:val="1A1A1A"/>
          <w:sz w:val="22"/>
          <w:szCs w:val="22"/>
        </w:rPr>
        <w:t xml:space="preserve">Drag and drop entre étapes du pipeline</w:t>
      </w:r>
    </w:p>
    <w:p>
      <w:pPr>
        <w:spacing w:after="80" w:before="180"/>
      </w:pPr>
      <w:r>
        <w:rPr>
          <w:rFonts w:ascii="Calibri" w:cs="Calibri" w:eastAsia="Calibri" w:hAnsi="Calibri"/>
          <w:b/>
          <w:bCs/>
          <w:color w:val="1F3A5F"/>
          <w:sz w:val="23"/>
          <w:szCs w:val="23"/>
        </w:rPr>
        <w:t xml:space="preserve">Sourcing et diffusion</w:t>
      </w:r>
    </w:p>
    <w:p>
      <w:pPr>
        <w:pStyle w:val="ListParagraph"/>
        <w:numPr>
          <w:ilvl w:val="0"/>
          <w:numId w:val="2"/>
        </w:numPr>
        <w:spacing w:after="40" w:before="40"/>
      </w:pPr>
      <w:r>
        <w:rPr>
          <w:rFonts w:ascii="Calibri" w:cs="Calibri" w:eastAsia="Calibri" w:hAnsi="Calibri"/>
          <w:color w:val="1A1A1A"/>
          <w:sz w:val="22"/>
          <w:szCs w:val="22"/>
        </w:rPr>
        <w:t xml:space="preserve">Diffusion multi-jobboards depuis l'interface EYWAI</w:t>
      </w:r>
    </w:p>
    <w:p>
      <w:pPr>
        <w:pStyle w:val="ListParagraph"/>
        <w:numPr>
          <w:ilvl w:val="0"/>
          <w:numId w:val="2"/>
        </w:numPr>
        <w:spacing w:after="40" w:before="40"/>
      </w:pPr>
      <w:r>
        <w:rPr>
          <w:rFonts w:ascii="Calibri" w:cs="Calibri" w:eastAsia="Calibri" w:hAnsi="Calibri"/>
          <w:color w:val="1A1A1A"/>
          <w:sz w:val="22"/>
          <w:szCs w:val="22"/>
        </w:rPr>
        <w:t xml:space="preserve">Scoring IA des candidatures vs. fiche de poste</w:t>
      </w:r>
    </w:p>
    <w:p>
      <w:pPr>
        <w:pStyle w:val="ListParagraph"/>
        <w:numPr>
          <w:ilvl w:val="0"/>
          <w:numId w:val="2"/>
        </w:numPr>
        <w:spacing w:after="40" w:before="40"/>
      </w:pPr>
      <w:r>
        <w:rPr>
          <w:rFonts w:ascii="Calibri" w:cs="Calibri" w:eastAsia="Calibri" w:hAnsi="Calibri"/>
          <w:color w:val="1A1A1A"/>
          <w:sz w:val="22"/>
          <w:szCs w:val="22"/>
        </w:rPr>
        <w:t xml:space="preserve">Tri et filtres avancés (compétences, expérience, disponibilité)</w:t>
      </w:r>
    </w:p>
    <w:p>
      <w:pPr>
        <w:spacing w:after="80" w:before="180"/>
      </w:pPr>
      <w:r>
        <w:rPr>
          <w:rFonts w:ascii="Calibri" w:cs="Calibri" w:eastAsia="Calibri" w:hAnsi="Calibri"/>
          <w:b/>
          <w:bCs/>
          <w:color w:val="1F3A5F"/>
          <w:sz w:val="23"/>
          <w:szCs w:val="23"/>
        </w:rPr>
        <w:t xml:space="preserve">Interfaçage paie</w:t>
      </w:r>
    </w:p>
    <w:p>
      <w:pPr>
        <w:pStyle w:val="ListParagraph"/>
        <w:numPr>
          <w:ilvl w:val="0"/>
          <w:numId w:val="2"/>
        </w:numPr>
        <w:spacing w:after="40" w:before="40"/>
      </w:pPr>
      <w:r>
        <w:rPr>
          <w:rFonts w:ascii="Calibri" w:cs="Calibri" w:eastAsia="Calibri" w:hAnsi="Calibri"/>
          <w:color w:val="1A1A1A"/>
          <w:sz w:val="22"/>
          <w:szCs w:val="22"/>
        </w:rPr>
        <w:t xml:space="preserve">Création automatique de la fiche salarié dès le passage en statut "recruté"</w:t>
      </w:r>
    </w:p>
    <w:p>
      <w:pPr>
        <w:pStyle w:val="ListParagraph"/>
        <w:numPr>
          <w:ilvl w:val="0"/>
          <w:numId w:val="2"/>
        </w:numPr>
        <w:spacing w:after="40" w:before="40"/>
      </w:pPr>
      <w:r>
        <w:rPr>
          <w:rFonts w:ascii="Calibri" w:cs="Calibri" w:eastAsia="Calibri" w:hAnsi="Calibri"/>
          <w:color w:val="1A1A1A"/>
          <w:sz w:val="22"/>
          <w:szCs w:val="22"/>
        </w:rPr>
        <w:t xml:space="preserve">Pré-remplissage des informations contractuelles (poste, rémunération, date d'embauche)</w:t>
      </w:r>
    </w:p>
    <w:p>
      <w:pPr>
        <w:pStyle w:val="ListParagraph"/>
        <w:numPr>
          <w:ilvl w:val="0"/>
          <w:numId w:val="2"/>
        </w:numPr>
        <w:spacing w:after="40" w:before="40"/>
      </w:pPr>
      <w:r>
        <w:rPr>
          <w:rFonts w:ascii="Calibri" w:cs="Calibri" w:eastAsia="Calibri" w:hAnsi="Calibri"/>
          <w:color w:val="1A1A1A"/>
          <w:sz w:val="22"/>
          <w:szCs w:val="22"/>
        </w:rPr>
        <w:t xml:space="preserve">Déclenchement du parcours d'onboarding salarié</w:t>
      </w:r>
    </w:p>
    <w:p>
      <w:pPr>
        <w:spacing w:after="80" w:before="180"/>
      </w:pPr>
      <w:r>
        <w:rPr>
          <w:rFonts w:ascii="Calibri" w:cs="Calibri" w:eastAsia="Calibri" w:hAnsi="Calibri"/>
          <w:b/>
          <w:bCs/>
          <w:color w:val="1F3A5F"/>
          <w:sz w:val="23"/>
          <w:szCs w:val="23"/>
        </w:rPr>
        <w:t xml:space="preserve">Analytics recrutement</w:t>
      </w:r>
    </w:p>
    <w:p>
      <w:pPr>
        <w:pStyle w:val="ListParagraph"/>
        <w:numPr>
          <w:ilvl w:val="0"/>
          <w:numId w:val="2"/>
        </w:numPr>
        <w:spacing w:after="40" w:before="40"/>
      </w:pPr>
      <w:r>
        <w:rPr>
          <w:rFonts w:ascii="Calibri" w:cs="Calibri" w:eastAsia="Calibri" w:hAnsi="Calibri"/>
          <w:color w:val="1A1A1A"/>
          <w:sz w:val="22"/>
          <w:szCs w:val="22"/>
        </w:rPr>
        <w:t xml:space="preserve">Time-to-hire par poste</w:t>
      </w:r>
    </w:p>
    <w:p>
      <w:pPr>
        <w:pStyle w:val="ListParagraph"/>
        <w:numPr>
          <w:ilvl w:val="0"/>
          <w:numId w:val="2"/>
        </w:numPr>
        <w:spacing w:after="40" w:before="40"/>
      </w:pPr>
      <w:r>
        <w:rPr>
          <w:rFonts w:ascii="Calibri" w:cs="Calibri" w:eastAsia="Calibri" w:hAnsi="Calibri"/>
          <w:color w:val="1A1A1A"/>
          <w:sz w:val="22"/>
          <w:szCs w:val="22"/>
        </w:rPr>
        <w:t xml:space="preserve">Efficacité des sources de recrutement</w:t>
      </w:r>
    </w:p>
    <w:p>
      <w:pPr>
        <w:pStyle w:val="ListParagraph"/>
        <w:numPr>
          <w:ilvl w:val="0"/>
          <w:numId w:val="2"/>
        </w:numPr>
        <w:spacing w:after="40" w:before="40"/>
      </w:pPr>
      <w:r>
        <w:rPr>
          <w:rFonts w:ascii="Calibri" w:cs="Calibri" w:eastAsia="Calibri" w:hAnsi="Calibri"/>
          <w:color w:val="1A1A1A"/>
          <w:sz w:val="22"/>
          <w:szCs w:val="22"/>
        </w:rPr>
        <w:t xml:space="preserve">Taux de conversion par étape du pipeline</w:t>
      </w:r>
    </w:p>
    <w:p>
      <w:pPr>
        <w:pStyle w:val="ListParagraph"/>
        <w:numPr>
          <w:ilvl w:val="0"/>
          <w:numId w:val="2"/>
        </w:numPr>
        <w:spacing w:after="40" w:before="40"/>
      </w:pPr>
      <w:r>
        <w:rPr>
          <w:rFonts w:ascii="Calibri" w:cs="Calibri" w:eastAsia="Calibri" w:hAnsi="Calibri"/>
          <w:color w:val="1A1A1A"/>
          <w:sz w:val="22"/>
          <w:szCs w:val="22"/>
        </w:rPr>
        <w:t xml:space="preserve">Coût par embauche</w:t>
      </w:r>
    </w:p>
    <w:p>
      <w:pPr>
        <w:pStyle w:val="Heading2"/>
        <w:spacing w:after="120" w:before="240"/>
      </w:pPr>
      <w:r>
        <w:rPr>
          <w:rFonts w:ascii="Calibri" w:cs="Calibri" w:eastAsia="Calibri" w:hAnsi="Calibri"/>
          <w:b/>
          <w:bCs/>
          <w:color w:val="2E75B6"/>
          <w:sz w:val="26"/>
          <w:szCs w:val="26"/>
        </w:rPr>
        <w:t xml:space="preserve">3.5 Pack Talent</w:t>
      </w:r>
    </w:p>
    <w:p>
      <w:pPr>
        <w:spacing w:after="40" w:before="40"/>
        <w:jc w:val="left"/>
      </w:pPr>
      <w:r>
        <w:rPr>
          <w:rFonts w:ascii="Calibri" w:cs="Calibri" w:hAnsi="Calibri"/>
          <w:i/>
          <w:iCs/>
          <w:color w:val="E8651A"/>
          <w:sz w:val="18"/>
          <w:szCs w:val="18"/>
        </w:rPr>
        <w:t xml:space="preserve">[ ANALYSE ] OK : entretiens annuels, objectifs, formation, compétences, Yousign. PARTIEL : obligations CPF variables ; IA identification talents = marketing vs réalité copilot.</w:t>
      </w:r>
    </w:p>
    <w:p>
      <w:pPr>
        <w:spacing w:after="80" w:before="180"/>
      </w:pPr>
      <w:r>
        <w:rPr>
          <w:rFonts w:ascii="Calibri" w:cs="Calibri" w:eastAsia="Calibri" w:hAnsi="Calibri"/>
          <w:b/>
          <w:bCs/>
          <w:color w:val="1F3A5F"/>
          <w:sz w:val="23"/>
          <w:szCs w:val="23"/>
        </w:rPr>
        <w:t xml:space="preserve">Entretiens &amp; Performance</w:t>
      </w:r>
    </w:p>
    <w:p>
      <w:pPr>
        <w:pStyle w:val="ListParagraph"/>
        <w:numPr>
          <w:ilvl w:val="0"/>
          <w:numId w:val="2"/>
        </w:numPr>
        <w:spacing w:after="40" w:before="40"/>
      </w:pPr>
      <w:r>
        <w:rPr>
          <w:rFonts w:ascii="Calibri" w:cs="Calibri" w:eastAsia="Calibri" w:hAnsi="Calibri"/>
          <w:color w:val="1A1A1A"/>
          <w:sz w:val="22"/>
          <w:szCs w:val="22"/>
        </w:rPr>
        <w:t xml:space="preserve">Modèles d'entretiens paramétrables (entretien annuel, professionnel, mi-parcours)</w:t>
      </w:r>
    </w:p>
    <w:p>
      <w:pPr>
        <w:pStyle w:val="ListParagraph"/>
        <w:numPr>
          <w:ilvl w:val="0"/>
          <w:numId w:val="2"/>
        </w:numPr>
        <w:spacing w:after="40" w:before="40"/>
      </w:pPr>
      <w:r>
        <w:rPr>
          <w:rFonts w:ascii="Calibri" w:cs="Calibri" w:eastAsia="Calibri" w:hAnsi="Calibri"/>
          <w:color w:val="1A1A1A"/>
          <w:sz w:val="22"/>
          <w:szCs w:val="22"/>
        </w:rPr>
        <w:t xml:space="preserve">Gestion des objectifs et suivi</w:t>
      </w:r>
    </w:p>
    <w:p>
      <w:pPr>
        <w:pStyle w:val="ListParagraph"/>
        <w:numPr>
          <w:ilvl w:val="0"/>
          <w:numId w:val="2"/>
        </w:numPr>
        <w:spacing w:after="40" w:before="40"/>
      </w:pPr>
      <w:r>
        <w:rPr>
          <w:rFonts w:ascii="Calibri" w:cs="Calibri" w:eastAsia="Calibri" w:hAnsi="Calibri"/>
          <w:color w:val="1A1A1A"/>
          <w:sz w:val="22"/>
          <w:szCs w:val="22"/>
        </w:rPr>
        <w:t xml:space="preserve">Workflow de planification et de réalisation</w:t>
      </w:r>
    </w:p>
    <w:p>
      <w:pPr>
        <w:pStyle w:val="ListParagraph"/>
        <w:numPr>
          <w:ilvl w:val="0"/>
          <w:numId w:val="2"/>
        </w:numPr>
        <w:spacing w:after="40" w:before="40"/>
      </w:pPr>
      <w:r>
        <w:rPr>
          <w:rFonts w:ascii="Calibri" w:cs="Calibri" w:eastAsia="Calibri" w:hAnsi="Calibri"/>
          <w:color w:val="1A1A1A"/>
          <w:sz w:val="22"/>
          <w:szCs w:val="22"/>
        </w:rPr>
        <w:t xml:space="preserve">Signature électronique des comptes-rendus d'entretien</w:t>
      </w:r>
    </w:p>
    <w:p>
      <w:pPr>
        <w:pStyle w:val="ListParagraph"/>
        <w:numPr>
          <w:ilvl w:val="0"/>
          <w:numId w:val="2"/>
        </w:numPr>
        <w:spacing w:after="40" w:before="40"/>
      </w:pPr>
      <w:r>
        <w:rPr>
          <w:rFonts w:ascii="Calibri" w:cs="Calibri" w:eastAsia="Calibri" w:hAnsi="Calibri"/>
          <w:color w:val="1A1A1A"/>
          <w:sz w:val="22"/>
          <w:szCs w:val="22"/>
        </w:rPr>
        <w:t xml:space="preserve">Historique consultable par le salarié via le portail</w:t>
      </w:r>
    </w:p>
    <w:p>
      <w:pPr>
        <w:spacing w:after="80" w:before="180"/>
      </w:pPr>
      <w:r>
        <w:rPr>
          <w:rFonts w:ascii="Calibri" w:cs="Calibri" w:eastAsia="Calibri" w:hAnsi="Calibri"/>
          <w:b/>
          <w:bCs/>
          <w:color w:val="1F3A5F"/>
          <w:sz w:val="23"/>
          <w:szCs w:val="23"/>
        </w:rPr>
        <w:t xml:space="preserve">Gestion de la formation</w:t>
      </w:r>
    </w:p>
    <w:p>
      <w:pPr>
        <w:pStyle w:val="ListParagraph"/>
        <w:numPr>
          <w:ilvl w:val="0"/>
          <w:numId w:val="2"/>
        </w:numPr>
        <w:spacing w:after="40" w:before="40"/>
      </w:pPr>
      <w:r>
        <w:rPr>
          <w:rFonts w:ascii="Calibri" w:cs="Calibri" w:eastAsia="Calibri" w:hAnsi="Calibri"/>
          <w:color w:val="1A1A1A"/>
          <w:sz w:val="22"/>
          <w:szCs w:val="22"/>
        </w:rPr>
        <w:t xml:space="preserve">Catalogue de formations avec classification (type, tags, coût)</w:t>
      </w:r>
    </w:p>
    <w:p>
      <w:pPr>
        <w:pStyle w:val="ListParagraph"/>
        <w:numPr>
          <w:ilvl w:val="0"/>
          <w:numId w:val="2"/>
        </w:numPr>
        <w:spacing w:after="40" w:before="40"/>
      </w:pPr>
      <w:r>
        <w:rPr>
          <w:rFonts w:ascii="Calibri" w:cs="Calibri" w:eastAsia="Calibri" w:hAnsi="Calibri"/>
          <w:color w:val="1A1A1A"/>
          <w:sz w:val="22"/>
          <w:szCs w:val="22"/>
        </w:rPr>
        <w:t xml:space="preserve">Workflow d'inscription (salarié → manager → RH)</w:t>
      </w:r>
    </w:p>
    <w:p>
      <w:pPr>
        <w:pStyle w:val="ListParagraph"/>
        <w:numPr>
          <w:ilvl w:val="0"/>
          <w:numId w:val="2"/>
        </w:numPr>
        <w:spacing w:after="40" w:before="40"/>
      </w:pPr>
      <w:r>
        <w:rPr>
          <w:rFonts w:ascii="Calibri" w:cs="Calibri" w:eastAsia="Calibri" w:hAnsi="Calibri"/>
          <w:color w:val="1A1A1A"/>
          <w:sz w:val="22"/>
          <w:szCs w:val="22"/>
        </w:rPr>
        <w:t xml:space="preserve">Gestion du budget formation avec alertes automatiques</w:t>
      </w:r>
    </w:p>
    <w:p>
      <w:pPr>
        <w:pStyle w:val="ListParagraph"/>
        <w:numPr>
          <w:ilvl w:val="0"/>
          <w:numId w:val="2"/>
        </w:numPr>
        <w:spacing w:after="40" w:before="40"/>
      </w:pPr>
      <w:r>
        <w:rPr>
          <w:rFonts w:ascii="Calibri" w:cs="Calibri" w:eastAsia="Calibri" w:hAnsi="Calibri"/>
          <w:color w:val="1A1A1A"/>
          <w:sz w:val="22"/>
          <w:szCs w:val="22"/>
        </w:rPr>
        <w:t xml:space="preserve">Suivi des obligations légales (entretien professionnel 2 ans, bilan 6 ans, CPF)</w:t>
      </w:r>
    </w:p>
    <w:p>
      <w:pPr>
        <w:pStyle w:val="ListParagraph"/>
        <w:numPr>
          <w:ilvl w:val="0"/>
          <w:numId w:val="2"/>
        </w:numPr>
        <w:spacing w:after="40" w:before="40"/>
      </w:pPr>
      <w:r>
        <w:rPr>
          <w:rFonts w:ascii="Calibri" w:cs="Calibri" w:eastAsia="Calibri" w:hAnsi="Calibri"/>
          <w:color w:val="1A1A1A"/>
          <w:sz w:val="22"/>
          <w:szCs w:val="22"/>
        </w:rPr>
        <w:t xml:space="preserve">Upload de certificats et génération d'attestations de présence</w:t>
      </w:r>
    </w:p>
    <w:p>
      <w:pPr>
        <w:pStyle w:val="ListParagraph"/>
        <w:numPr>
          <w:ilvl w:val="0"/>
          <w:numId w:val="2"/>
        </w:numPr>
        <w:spacing w:after="40" w:before="40"/>
      </w:pPr>
      <w:r>
        <w:rPr>
          <w:rFonts w:ascii="Calibri" w:cs="Calibri" w:eastAsia="Calibri" w:hAnsi="Calibri"/>
          <w:color w:val="1A1A1A"/>
          <w:sz w:val="22"/>
          <w:szCs w:val="22"/>
        </w:rPr>
        <w:t xml:space="preserve">Évaluation post-formation (notation 1-5 étoiles et commentaire)</w:t>
      </w:r>
    </w:p>
    <w:p>
      <w:pPr>
        <w:pStyle w:val="ListParagraph"/>
        <w:numPr>
          <w:ilvl w:val="0"/>
          <w:numId w:val="2"/>
        </w:numPr>
        <w:spacing w:after="40" w:before="40"/>
      </w:pPr>
      <w:r>
        <w:rPr>
          <w:rFonts w:ascii="Calibri" w:cs="Calibri" w:eastAsia="Calibri" w:hAnsi="Calibri"/>
          <w:color w:val="1A1A1A"/>
          <w:sz w:val="22"/>
          <w:szCs w:val="22"/>
        </w:rPr>
        <w:t xml:space="preserve">Dashboard RH : budget, inscriptions en cours, alertes</w:t>
      </w:r>
    </w:p>
    <w:p>
      <w:pPr>
        <w:pStyle w:val="ListParagraph"/>
        <w:numPr>
          <w:ilvl w:val="0"/>
          <w:numId w:val="2"/>
        </w:numPr>
        <w:spacing w:after="40" w:before="40"/>
      </w:pPr>
      <w:r>
        <w:rPr>
          <w:rFonts w:ascii="Calibri" w:cs="Calibri" w:eastAsia="Calibri" w:hAnsi="Calibri"/>
          <w:color w:val="1A1A1A"/>
          <w:sz w:val="22"/>
          <w:szCs w:val="22"/>
        </w:rPr>
        <w:t xml:space="preserve">Portail salarié : catalogue, mes formations, mes certificats</w:t>
      </w:r>
    </w:p>
    <w:p>
      <w:pPr>
        <w:spacing w:after="80" w:before="180"/>
      </w:pPr>
      <w:r>
        <w:rPr>
          <w:rFonts w:ascii="Calibri" w:cs="Calibri" w:eastAsia="Calibri" w:hAnsi="Calibri"/>
          <w:b/>
          <w:bCs/>
          <w:color w:val="1F3A5F"/>
          <w:sz w:val="23"/>
          <w:szCs w:val="23"/>
        </w:rPr>
        <w:t xml:space="preserve">Matrice de compétences</w:t>
      </w:r>
    </w:p>
    <w:p>
      <w:pPr>
        <w:pStyle w:val="ListParagraph"/>
        <w:numPr>
          <w:ilvl w:val="0"/>
          <w:numId w:val="2"/>
        </w:numPr>
        <w:spacing w:after="40" w:before="40"/>
      </w:pPr>
      <w:r>
        <w:rPr>
          <w:rFonts w:ascii="Calibri" w:cs="Calibri" w:eastAsia="Calibri" w:hAnsi="Calibri"/>
          <w:color w:val="1A1A1A"/>
          <w:sz w:val="22"/>
          <w:szCs w:val="22"/>
        </w:rPr>
        <w:t xml:space="preserve">Référentiel de compétences (techniques, soft skills, métier)</w:t>
      </w:r>
    </w:p>
    <w:p>
      <w:pPr>
        <w:pStyle w:val="ListParagraph"/>
        <w:numPr>
          <w:ilvl w:val="0"/>
          <w:numId w:val="2"/>
        </w:numPr>
        <w:spacing w:after="40" w:before="40"/>
      </w:pPr>
      <w:r>
        <w:rPr>
          <w:rFonts w:ascii="Calibri" w:cs="Calibri" w:eastAsia="Calibri" w:hAnsi="Calibri"/>
          <w:color w:val="1A1A1A"/>
          <w:sz w:val="22"/>
          <w:szCs w:val="22"/>
        </w:rPr>
        <w:t xml:space="preserve">Compétences requises par poste avec niveau attendu</w:t>
      </w:r>
    </w:p>
    <w:p>
      <w:pPr>
        <w:pStyle w:val="ListParagraph"/>
        <w:numPr>
          <w:ilvl w:val="0"/>
          <w:numId w:val="2"/>
        </w:numPr>
        <w:spacing w:after="40" w:before="40"/>
      </w:pPr>
      <w:r>
        <w:rPr>
          <w:rFonts w:ascii="Calibri" w:cs="Calibri" w:eastAsia="Calibri" w:hAnsi="Calibri"/>
          <w:color w:val="1A1A1A"/>
          <w:sz w:val="22"/>
          <w:szCs w:val="22"/>
        </w:rPr>
        <w:t xml:space="preserve">Évaluation par salarié (échelle 1-5)</w:t>
      </w:r>
    </w:p>
    <w:p>
      <w:pPr>
        <w:pStyle w:val="ListParagraph"/>
        <w:numPr>
          <w:ilvl w:val="0"/>
          <w:numId w:val="2"/>
        </w:numPr>
        <w:spacing w:after="40" w:before="40"/>
      </w:pPr>
      <w:r>
        <w:rPr>
          <w:rFonts w:ascii="Calibri" w:cs="Calibri" w:eastAsia="Calibri" w:hAnsi="Calibri"/>
          <w:color w:val="1A1A1A"/>
          <w:sz w:val="22"/>
          <w:szCs w:val="22"/>
        </w:rPr>
        <w:t xml:space="preserve">Matrice visuelle par équipe avec code couleur (rouge/orange/vert)</w:t>
      </w:r>
    </w:p>
    <w:p>
      <w:pPr>
        <w:pStyle w:val="ListParagraph"/>
        <w:numPr>
          <w:ilvl w:val="0"/>
          <w:numId w:val="2"/>
        </w:numPr>
        <w:spacing w:after="40" w:before="40"/>
      </w:pPr>
      <w:r>
        <w:rPr>
          <w:rFonts w:ascii="Calibri" w:cs="Calibri" w:eastAsia="Calibri" w:hAnsi="Calibri"/>
          <w:color w:val="1A1A1A"/>
          <w:sz w:val="22"/>
          <w:szCs w:val="22"/>
        </w:rPr>
        <w:t xml:space="preserve">Détection automatique des gaps de compétences</w:t>
      </w:r>
    </w:p>
    <w:p>
      <w:pPr>
        <w:pStyle w:val="ListParagraph"/>
        <w:numPr>
          <w:ilvl w:val="0"/>
          <w:numId w:val="2"/>
        </w:numPr>
        <w:spacing w:after="40" w:before="40"/>
      </w:pPr>
      <w:r>
        <w:rPr>
          <w:rFonts w:ascii="Calibri" w:cs="Calibri" w:eastAsia="Calibri" w:hAnsi="Calibri"/>
          <w:color w:val="1A1A1A"/>
          <w:sz w:val="22"/>
          <w:szCs w:val="22"/>
        </w:rPr>
        <w:t xml:space="preserve">Identification IA des talents internes pour la mobilité</w:t>
      </w:r>
    </w:p>
    <w:p>
      <w:pPr>
        <w:pStyle w:val="ListParagraph"/>
        <w:numPr>
          <w:ilvl w:val="0"/>
          <w:numId w:val="2"/>
        </w:numPr>
        <w:spacing w:after="40" w:before="40"/>
      </w:pPr>
      <w:r>
        <w:rPr>
          <w:rFonts w:ascii="Calibri" w:cs="Calibri" w:eastAsia="Calibri" w:hAnsi="Calibri"/>
          <w:color w:val="1A1A1A"/>
          <w:sz w:val="22"/>
          <w:szCs w:val="22"/>
        </w:rPr>
        <w:t xml:space="preserve">Recommandations de formations personnalisées par salarié</w:t>
      </w:r>
    </w:p>
    <w:p>
      <w:r>
        <w:br w:type="page"/>
      </w:r>
    </w:p>
    <w:p>
      <w:pPr>
        <w:pStyle w:val="Heading2"/>
        <w:spacing w:after="120" w:before="240"/>
      </w:pPr>
      <w:r>
        <w:rPr>
          <w:rFonts w:ascii="Calibri" w:cs="Calibri" w:eastAsia="Calibri" w:hAnsi="Calibri"/>
          <w:b/>
          <w:bCs/>
          <w:color w:val="2E75B6"/>
          <w:sz w:val="26"/>
          <w:szCs w:val="26"/>
        </w:rPr>
        <w:t xml:space="preserve">3.6 Pack Social</w:t>
      </w:r>
    </w:p>
    <w:p>
      <w:pPr>
        <w:spacing w:after="40" w:before="40"/>
        <w:jc w:val="left"/>
      </w:pPr>
      <w:r>
        <w:rPr>
          <w:rFonts w:ascii="Calibri" w:cs="Calibri" w:hAnsi="Calibri"/>
          <w:i/>
          <w:iCs/>
          <w:color w:val="E8651A"/>
          <w:sz w:val="18"/>
          <w:szCs w:val="18"/>
        </w:rPr>
        <w:t xml:space="preserve">[ ANALYSE ] OK : CSE complet, visites médicales, aptitudes. PARTIEL : génération PV 100% automatique à vérifier.</w:t>
      </w:r>
    </w:p>
    <w:p>
      <w:pPr>
        <w:spacing w:after="80" w:before="180"/>
      </w:pPr>
      <w:r>
        <w:rPr>
          <w:rFonts w:ascii="Calibri" w:cs="Calibri" w:eastAsia="Calibri" w:hAnsi="Calibri"/>
          <w:b/>
          <w:bCs/>
          <w:color w:val="1F3A5F"/>
          <w:sz w:val="23"/>
          <w:szCs w:val="23"/>
        </w:rPr>
        <w:t xml:space="preserve">CSE &amp; Dialogue Social</w:t>
      </w:r>
    </w:p>
    <w:p>
      <w:pPr>
        <w:pStyle w:val="ListParagraph"/>
        <w:numPr>
          <w:ilvl w:val="0"/>
          <w:numId w:val="2"/>
        </w:numPr>
        <w:spacing w:after="40" w:before="40"/>
      </w:pPr>
      <w:r>
        <w:rPr>
          <w:rFonts w:ascii="Calibri" w:cs="Calibri" w:eastAsia="Calibri" w:hAnsi="Calibri"/>
          <w:color w:val="1A1A1A"/>
          <w:sz w:val="22"/>
          <w:szCs w:val="22"/>
        </w:rPr>
        <w:t xml:space="preserve">Gestion des élections CSE (listes, scrutins, résultats)</w:t>
      </w:r>
    </w:p>
    <w:p>
      <w:pPr>
        <w:pStyle w:val="ListParagraph"/>
        <w:numPr>
          <w:ilvl w:val="0"/>
          <w:numId w:val="2"/>
        </w:numPr>
        <w:spacing w:after="40" w:before="40"/>
      </w:pPr>
      <w:r>
        <w:rPr>
          <w:rFonts w:ascii="Calibri" w:cs="Calibri" w:eastAsia="Calibri" w:hAnsi="Calibri"/>
          <w:color w:val="1A1A1A"/>
          <w:sz w:val="22"/>
          <w:szCs w:val="22"/>
        </w:rPr>
        <w:t xml:space="preserve">Suivi des mandats et de leur durée</w:t>
      </w:r>
    </w:p>
    <w:p>
      <w:pPr>
        <w:pStyle w:val="ListParagraph"/>
        <w:numPr>
          <w:ilvl w:val="0"/>
          <w:numId w:val="2"/>
        </w:numPr>
        <w:spacing w:after="40" w:before="40"/>
      </w:pPr>
      <w:r>
        <w:rPr>
          <w:rFonts w:ascii="Calibri" w:cs="Calibri" w:eastAsia="Calibri" w:hAnsi="Calibri"/>
          <w:color w:val="1A1A1A"/>
          <w:sz w:val="22"/>
          <w:szCs w:val="22"/>
        </w:rPr>
        <w:t xml:space="preserve">Gestion des heures de délégation avec code horaire spécifique remonté en paie</w:t>
      </w:r>
    </w:p>
    <w:p>
      <w:pPr>
        <w:pStyle w:val="ListParagraph"/>
        <w:numPr>
          <w:ilvl w:val="0"/>
          <w:numId w:val="2"/>
        </w:numPr>
        <w:spacing w:after="40" w:before="40"/>
      </w:pPr>
      <w:r>
        <w:rPr>
          <w:rFonts w:ascii="Calibri" w:cs="Calibri" w:eastAsia="Calibri" w:hAnsi="Calibri"/>
          <w:color w:val="1A1A1A"/>
          <w:sz w:val="22"/>
          <w:szCs w:val="22"/>
        </w:rPr>
        <w:t xml:space="preserve">Remontée automatique vers le module CSE depuis la fiche salarié (CCN, contrat, statut, collège)</w:t>
      </w:r>
    </w:p>
    <w:p>
      <w:pPr>
        <w:pStyle w:val="ListParagraph"/>
        <w:numPr>
          <w:ilvl w:val="0"/>
          <w:numId w:val="2"/>
        </w:numPr>
        <w:spacing w:after="40" w:before="40"/>
      </w:pPr>
      <w:r>
        <w:rPr>
          <w:rFonts w:ascii="Calibri" w:cs="Calibri" w:eastAsia="Calibri" w:hAnsi="Calibri"/>
          <w:color w:val="1A1A1A"/>
          <w:sz w:val="22"/>
          <w:szCs w:val="22"/>
        </w:rPr>
        <w:t xml:space="preserve">Protection du mandat : bloc CSE non visible par les managers, accessible RH uniquement</w:t>
      </w:r>
    </w:p>
    <w:p>
      <w:pPr>
        <w:pStyle w:val="ListParagraph"/>
        <w:numPr>
          <w:ilvl w:val="0"/>
          <w:numId w:val="2"/>
        </w:numPr>
        <w:spacing w:after="40" w:before="40"/>
      </w:pPr>
      <w:r>
        <w:rPr>
          <w:rFonts w:ascii="Calibri" w:cs="Calibri" w:eastAsia="Calibri" w:hAnsi="Calibri"/>
          <w:color w:val="1A1A1A"/>
          <w:sz w:val="22"/>
          <w:szCs w:val="22"/>
        </w:rPr>
        <w:t xml:space="preserve">Génération automatique des PV de réunion</w:t>
      </w:r>
    </w:p>
    <w:p>
      <w:pPr>
        <w:pStyle w:val="ListParagraph"/>
        <w:numPr>
          <w:ilvl w:val="0"/>
          <w:numId w:val="2"/>
        </w:numPr>
        <w:spacing w:after="40" w:before="40"/>
      </w:pPr>
      <w:r>
        <w:rPr>
          <w:rFonts w:ascii="Calibri" w:cs="Calibri" w:eastAsia="Calibri" w:hAnsi="Calibri"/>
          <w:color w:val="1A1A1A"/>
          <w:sz w:val="22"/>
          <w:szCs w:val="22"/>
        </w:rPr>
        <w:t xml:space="preserve">Archivage sécurisé des documents sociaux</w:t>
      </w:r>
    </w:p>
    <w:p>
      <w:pPr>
        <w:pStyle w:val="ListParagraph"/>
        <w:numPr>
          <w:ilvl w:val="0"/>
          <w:numId w:val="2"/>
        </w:numPr>
        <w:spacing w:after="40" w:before="40"/>
      </w:pPr>
      <w:r>
        <w:rPr>
          <w:rFonts w:ascii="Calibri" w:cs="Calibri" w:eastAsia="Calibri" w:hAnsi="Calibri"/>
          <w:color w:val="1A1A1A"/>
          <w:sz w:val="22"/>
          <w:szCs w:val="22"/>
        </w:rPr>
        <w:t xml:space="preserve">Calendrier des réunions et obligations légales</w:t>
      </w:r>
    </w:p>
    <w:p>
      <w:pPr>
        <w:spacing w:after="80" w:before="180"/>
      </w:pPr>
      <w:r>
        <w:rPr>
          <w:rFonts w:ascii="Calibri" w:cs="Calibri" w:eastAsia="Calibri" w:hAnsi="Calibri"/>
          <w:b/>
          <w:bCs/>
          <w:color w:val="1F3A5F"/>
          <w:sz w:val="23"/>
          <w:szCs w:val="23"/>
        </w:rPr>
        <w:t xml:space="preserve">Suivi des visites médicales</w:t>
      </w:r>
    </w:p>
    <w:p>
      <w:pPr>
        <w:pStyle w:val="ListParagraph"/>
        <w:numPr>
          <w:ilvl w:val="0"/>
          <w:numId w:val="2"/>
        </w:numPr>
        <w:spacing w:after="40" w:before="40"/>
      </w:pPr>
      <w:r>
        <w:rPr>
          <w:rFonts w:ascii="Calibri" w:cs="Calibri" w:eastAsia="Calibri" w:hAnsi="Calibri"/>
          <w:color w:val="1A1A1A"/>
          <w:sz w:val="22"/>
          <w:szCs w:val="22"/>
        </w:rPr>
        <w:t xml:space="preserve">Planification automatique des visites selon les périodicités légales</w:t>
      </w:r>
    </w:p>
    <w:p>
      <w:pPr>
        <w:pStyle w:val="ListParagraph"/>
        <w:numPr>
          <w:ilvl w:val="0"/>
          <w:numId w:val="2"/>
        </w:numPr>
        <w:spacing w:after="40" w:before="40"/>
      </w:pPr>
      <w:r>
        <w:rPr>
          <w:rFonts w:ascii="Calibri" w:cs="Calibri" w:eastAsia="Calibri" w:hAnsi="Calibri"/>
          <w:color w:val="1A1A1A"/>
          <w:sz w:val="22"/>
          <w:szCs w:val="22"/>
        </w:rPr>
        <w:t xml:space="preserve">Rappels automatiques aux salariés et à la RH</w:t>
      </w:r>
    </w:p>
    <w:p>
      <w:pPr>
        <w:pStyle w:val="ListParagraph"/>
        <w:numPr>
          <w:ilvl w:val="0"/>
          <w:numId w:val="2"/>
        </w:numPr>
        <w:spacing w:after="40" w:before="40"/>
      </w:pPr>
      <w:r>
        <w:rPr>
          <w:rFonts w:ascii="Calibri" w:cs="Calibri" w:eastAsia="Calibri" w:hAnsi="Calibri"/>
          <w:color w:val="1A1A1A"/>
          <w:sz w:val="22"/>
          <w:szCs w:val="22"/>
        </w:rPr>
        <w:t xml:space="preserve">Suivi des aptitudes et restrictions médicales</w:t>
      </w:r>
    </w:p>
    <w:p>
      <w:pPr>
        <w:pStyle w:val="ListParagraph"/>
        <w:numPr>
          <w:ilvl w:val="0"/>
          <w:numId w:val="2"/>
        </w:numPr>
        <w:spacing w:after="40" w:before="40"/>
      </w:pPr>
      <w:r>
        <w:rPr>
          <w:rFonts w:ascii="Calibri" w:cs="Calibri" w:eastAsia="Calibri" w:hAnsi="Calibri"/>
          <w:color w:val="1A1A1A"/>
          <w:sz w:val="22"/>
          <w:szCs w:val="22"/>
        </w:rPr>
        <w:t xml:space="preserve">Tableau de conformité et alertes de retard</w:t>
      </w:r>
    </w:p>
    <w:p>
      <w:pPr>
        <w:pStyle w:val="Heading2"/>
        <w:spacing w:after="120" w:before="240"/>
      </w:pPr>
      <w:r>
        <w:rPr>
          <w:rFonts w:ascii="Calibri" w:cs="Calibri" w:eastAsia="Calibri" w:hAnsi="Calibri"/>
          <w:b/>
          <w:bCs/>
          <w:color w:val="2E75B6"/>
          <w:sz w:val="26"/>
          <w:szCs w:val="26"/>
        </w:rPr>
        <w:t xml:space="preserve">3.7 Pack Badgeuse &amp; Pointage</w:t>
      </w:r>
    </w:p>
    <w:p>
      <w:pPr>
        <w:spacing w:after="40" w:before="40"/>
        <w:jc w:val="left"/>
      </w:pPr>
      <w:r>
        <w:rPr>
          <w:rFonts w:ascii="Calibri" w:cs="Calibri" w:hAnsi="Calibri"/>
          <w:i/>
          <w:iCs/>
          <w:color w:val="E8651A"/>
          <w:sz w:val="18"/>
          <w:szCs w:val="18"/>
        </w:rPr>
        <w:t xml:space="preserve">[ ANALYSE ] OK : badgeuse web RH. NON : apps iOS/Android absentes du dépôt, intégrations matérielles Bodet/Horoquartz/Ineo-Sens non présentes. ÉCART MAJEUR (~50-90 j/p pour combler).</w:t>
      </w:r>
    </w:p>
    <w:p>
      <w:pPr>
        <w:pStyle w:val="ListParagraph"/>
        <w:numPr>
          <w:ilvl w:val="0"/>
          <w:numId w:val="2"/>
        </w:numPr>
        <w:spacing w:after="40" w:before="40"/>
      </w:pPr>
      <w:r>
        <w:rPr>
          <w:rFonts w:ascii="Calibri" w:cs="Calibri" w:eastAsia="Calibri" w:hAnsi="Calibri"/>
          <w:color w:val="1A1A1A"/>
          <w:sz w:val="22"/>
          <w:szCs w:val="22"/>
        </w:rPr>
        <w:t xml:space="preserve">Badgeuse virtuelle via application mobile (iOS et Android) + QR code</w:t>
      </w:r>
    </w:p>
    <w:p>
      <w:pPr>
        <w:pStyle w:val="ListParagraph"/>
        <w:numPr>
          <w:ilvl w:val="0"/>
          <w:numId w:val="2"/>
        </w:numPr>
        <w:spacing w:after="40" w:before="40"/>
      </w:pPr>
      <w:r>
        <w:rPr>
          <w:rFonts w:ascii="Calibri" w:cs="Calibri" w:eastAsia="Calibri" w:hAnsi="Calibri"/>
          <w:color w:val="1A1A1A"/>
          <w:sz w:val="22"/>
          <w:szCs w:val="22"/>
        </w:rPr>
        <w:t xml:space="preserve">Pointage entrée/sortie avec géolocalisation optionnelle</w:t>
      </w:r>
    </w:p>
    <w:p>
      <w:pPr>
        <w:pStyle w:val="ListParagraph"/>
        <w:numPr>
          <w:ilvl w:val="0"/>
          <w:numId w:val="2"/>
        </w:numPr>
        <w:spacing w:after="40" w:before="40"/>
      </w:pPr>
      <w:r>
        <w:rPr>
          <w:rFonts w:ascii="Calibri" w:cs="Calibri" w:eastAsia="Calibri" w:hAnsi="Calibri"/>
          <w:color w:val="1A1A1A"/>
          <w:sz w:val="22"/>
          <w:szCs w:val="22"/>
        </w:rPr>
        <w:t xml:space="preserve">Calcul automatique des heures supplémentaires</w:t>
      </w:r>
    </w:p>
    <w:p>
      <w:pPr>
        <w:pStyle w:val="ListParagraph"/>
        <w:numPr>
          <w:ilvl w:val="0"/>
          <w:numId w:val="2"/>
        </w:numPr>
        <w:spacing w:after="40" w:before="40"/>
      </w:pPr>
      <w:r>
        <w:rPr>
          <w:rFonts w:ascii="Calibri" w:cs="Calibri" w:eastAsia="Calibri" w:hAnsi="Calibri"/>
          <w:color w:val="1A1A1A"/>
          <w:sz w:val="22"/>
          <w:szCs w:val="22"/>
        </w:rPr>
        <w:t xml:space="preserve">Gestion des pauses et des temps de repos obligatoires</w:t>
      </w:r>
    </w:p>
    <w:p>
      <w:pPr>
        <w:pStyle w:val="ListParagraph"/>
        <w:numPr>
          <w:ilvl w:val="0"/>
          <w:numId w:val="2"/>
        </w:numPr>
        <w:spacing w:after="40" w:before="40"/>
      </w:pPr>
      <w:r>
        <w:rPr>
          <w:rFonts w:ascii="Calibri" w:cs="Calibri" w:eastAsia="Calibri" w:hAnsi="Calibri"/>
          <w:color w:val="1A1A1A"/>
          <w:sz w:val="22"/>
          <w:szCs w:val="22"/>
        </w:rPr>
        <w:t xml:space="preserve">Exports vers la paie (heures réelles consolidées)</w:t>
      </w:r>
    </w:p>
    <w:p>
      <w:pPr>
        <w:pStyle w:val="ListParagraph"/>
        <w:numPr>
          <w:ilvl w:val="0"/>
          <w:numId w:val="2"/>
        </w:numPr>
        <w:spacing w:after="40" w:before="40"/>
      </w:pPr>
      <w:r>
        <w:rPr>
          <w:rFonts w:ascii="Calibri" w:cs="Calibri" w:eastAsia="Calibri" w:hAnsi="Calibri"/>
          <w:color w:val="1A1A1A"/>
          <w:sz w:val="22"/>
          <w:szCs w:val="22"/>
        </w:rPr>
        <w:t xml:space="preserve">Alertes automatiques en cas de dépassement des horaires légaux</w:t>
      </w:r>
    </w:p>
    <w:p>
      <w:pPr>
        <w:pStyle w:val="ListParagraph"/>
        <w:numPr>
          <w:ilvl w:val="0"/>
          <w:numId w:val="2"/>
        </w:numPr>
        <w:spacing w:after="40" w:before="40"/>
      </w:pPr>
      <w:r>
        <w:rPr>
          <w:rFonts w:ascii="Calibri" w:cs="Calibri" w:eastAsia="Calibri" w:hAnsi="Calibri"/>
          <w:color w:val="1A1A1A"/>
          <w:sz w:val="22"/>
          <w:szCs w:val="22"/>
        </w:rPr>
        <w:t xml:space="preserve">Dashboard temps réel par salarié et par service</w:t>
      </w:r>
    </w:p>
    <w:p>
      <w:pPr>
        <w:pStyle w:val="ListParagraph"/>
        <w:numPr>
          <w:ilvl w:val="0"/>
          <w:numId w:val="2"/>
        </w:numPr>
        <w:spacing w:after="40" w:before="40"/>
      </w:pPr>
      <w:r>
        <w:rPr>
          <w:rFonts w:ascii="Calibri" w:cs="Calibri" w:eastAsia="Calibri" w:hAnsi="Calibri"/>
          <w:color w:val="1A1A1A"/>
          <w:sz w:val="22"/>
          <w:szCs w:val="22"/>
        </w:rPr>
        <w:t xml:space="preserve">Compatibilité avec les badgeuses physiques existantes (Bodet, Horoquartz, Ineo-Sens)</w:t>
      </w:r>
    </w:p>
    <w:p>
      <w:pPr>
        <w:pStyle w:val="Heading2"/>
        <w:spacing w:after="120" w:before="240"/>
      </w:pPr>
      <w:r>
        <w:rPr>
          <w:rFonts w:ascii="Calibri" w:cs="Calibri" w:eastAsia="Calibri" w:hAnsi="Calibri"/>
          <w:b/>
          <w:bCs/>
          <w:color w:val="2E75B6"/>
          <w:sz w:val="26"/>
          <w:szCs w:val="26"/>
        </w:rPr>
        <w:t xml:space="preserve">3.8 Pack Gestion des Temps</w:t>
      </w:r>
    </w:p>
    <w:p>
      <w:pPr>
        <w:spacing w:after="40" w:before="40"/>
        <w:jc w:val="left"/>
      </w:pPr>
      <w:r>
        <w:rPr>
          <w:rFonts w:ascii="Calibri" w:cs="Calibri" w:hAnsi="Calibri"/>
          <w:i/>
          <w:iCs/>
          <w:color w:val="E8651A"/>
          <w:sz w:val="18"/>
          <w:szCs w:val="18"/>
        </w:rPr>
        <w:t xml:space="preserve">[ ANALYSE ] OK : planning, absences, schedules. PARTIEL : exports iCal/Google/Outlook et scénarios astreintes/remplacements avancés à confirmer.</w:t>
      </w:r>
    </w:p>
    <w:p>
      <w:pPr>
        <w:pStyle w:val="ListParagraph"/>
        <w:numPr>
          <w:ilvl w:val="0"/>
          <w:numId w:val="2"/>
        </w:numPr>
        <w:spacing w:after="40" w:before="40"/>
      </w:pPr>
      <w:r>
        <w:rPr>
          <w:rFonts w:ascii="Calibri" w:cs="Calibri" w:eastAsia="Calibri" w:hAnsi="Calibri"/>
          <w:color w:val="1A1A1A"/>
          <w:sz w:val="22"/>
          <w:szCs w:val="22"/>
        </w:rPr>
        <w:t xml:space="preserve">Planning dynamique (vues jour / semaine / mois)</w:t>
      </w:r>
    </w:p>
    <w:p>
      <w:pPr>
        <w:pStyle w:val="ListParagraph"/>
        <w:numPr>
          <w:ilvl w:val="0"/>
          <w:numId w:val="2"/>
        </w:numPr>
        <w:spacing w:after="40" w:before="40"/>
      </w:pPr>
      <w:r>
        <w:rPr>
          <w:rFonts w:ascii="Calibri" w:cs="Calibri" w:eastAsia="Calibri" w:hAnsi="Calibri"/>
          <w:color w:val="1A1A1A"/>
          <w:sz w:val="22"/>
          <w:szCs w:val="22"/>
        </w:rPr>
        <w:t xml:space="preserve">Gestion des absences (congés payés, RTT, maladie, maternité, sans solde)</w:t>
      </w:r>
    </w:p>
    <w:p>
      <w:pPr>
        <w:pStyle w:val="ListParagraph"/>
        <w:numPr>
          <w:ilvl w:val="0"/>
          <w:numId w:val="2"/>
        </w:numPr>
        <w:spacing w:after="40" w:before="40"/>
      </w:pPr>
      <w:r>
        <w:rPr>
          <w:rFonts w:ascii="Calibri" w:cs="Calibri" w:eastAsia="Calibri" w:hAnsi="Calibri"/>
          <w:color w:val="1A1A1A"/>
          <w:sz w:val="22"/>
          <w:szCs w:val="22"/>
        </w:rPr>
        <w:t xml:space="preserve">Workflow de validation multi-niveaux (manager puis RH)</w:t>
      </w:r>
    </w:p>
    <w:p>
      <w:pPr>
        <w:pStyle w:val="ListParagraph"/>
        <w:numPr>
          <w:ilvl w:val="0"/>
          <w:numId w:val="2"/>
        </w:numPr>
        <w:spacing w:after="40" w:before="40"/>
      </w:pPr>
      <w:r>
        <w:rPr>
          <w:rFonts w:ascii="Calibri" w:cs="Calibri" w:eastAsia="Calibri" w:hAnsi="Calibri"/>
          <w:color w:val="1A1A1A"/>
          <w:sz w:val="22"/>
          <w:szCs w:val="22"/>
        </w:rPr>
        <w:t xml:space="preserve">Calendrier des astreintes</w:t>
      </w:r>
    </w:p>
    <w:p>
      <w:pPr>
        <w:pStyle w:val="ListParagraph"/>
        <w:numPr>
          <w:ilvl w:val="0"/>
          <w:numId w:val="2"/>
        </w:numPr>
        <w:spacing w:after="40" w:before="40"/>
      </w:pPr>
      <w:r>
        <w:rPr>
          <w:rFonts w:ascii="Calibri" w:cs="Calibri" w:eastAsia="Calibri" w:hAnsi="Calibri"/>
          <w:color w:val="1A1A1A"/>
          <w:sz w:val="22"/>
          <w:szCs w:val="22"/>
        </w:rPr>
        <w:t xml:space="preserve">Gestion des remplacements et affectations croisées</w:t>
      </w:r>
    </w:p>
    <w:p>
      <w:pPr>
        <w:pStyle w:val="ListParagraph"/>
        <w:numPr>
          <w:ilvl w:val="0"/>
          <w:numId w:val="2"/>
        </w:numPr>
        <w:spacing w:after="40" w:before="40"/>
      </w:pPr>
      <w:r>
        <w:rPr>
          <w:rFonts w:ascii="Calibri" w:cs="Calibri" w:eastAsia="Calibri" w:hAnsi="Calibri"/>
          <w:color w:val="1A1A1A"/>
          <w:sz w:val="22"/>
          <w:szCs w:val="22"/>
        </w:rPr>
        <w:t xml:space="preserve">Compteurs automatiques (CP, RTT, récupération)</w:t>
      </w:r>
    </w:p>
    <w:p>
      <w:pPr>
        <w:pStyle w:val="ListParagraph"/>
        <w:numPr>
          <w:ilvl w:val="0"/>
          <w:numId w:val="2"/>
        </w:numPr>
        <w:spacing w:after="40" w:before="40"/>
      </w:pPr>
      <w:r>
        <w:rPr>
          <w:rFonts w:ascii="Calibri" w:cs="Calibri" w:eastAsia="Calibri" w:hAnsi="Calibri"/>
          <w:color w:val="1A1A1A"/>
          <w:sz w:val="22"/>
          <w:szCs w:val="22"/>
        </w:rPr>
        <w:t xml:space="preserve">Demandes salariés via portail dédié</w:t>
      </w:r>
    </w:p>
    <w:p>
      <w:pPr>
        <w:pStyle w:val="ListParagraph"/>
        <w:numPr>
          <w:ilvl w:val="0"/>
          <w:numId w:val="2"/>
        </w:numPr>
        <w:spacing w:after="40" w:before="40"/>
      </w:pPr>
      <w:r>
        <w:rPr>
          <w:rFonts w:ascii="Calibri" w:cs="Calibri" w:eastAsia="Calibri" w:hAnsi="Calibri"/>
          <w:color w:val="1A1A1A"/>
          <w:sz w:val="22"/>
          <w:szCs w:val="22"/>
        </w:rPr>
        <w:t xml:space="preserve">Notifications automatiques (validation, refus, rappels)</w:t>
      </w:r>
    </w:p>
    <w:p>
      <w:pPr>
        <w:pStyle w:val="ListParagraph"/>
        <w:numPr>
          <w:ilvl w:val="0"/>
          <w:numId w:val="2"/>
        </w:numPr>
        <w:spacing w:after="40" w:before="40"/>
      </w:pPr>
      <w:r>
        <w:rPr>
          <w:rFonts w:ascii="Calibri" w:cs="Calibri" w:eastAsia="Calibri" w:hAnsi="Calibri"/>
          <w:color w:val="1A1A1A"/>
          <w:sz w:val="22"/>
          <w:szCs w:val="22"/>
        </w:rPr>
        <w:t xml:space="preserve">Exports iCal, Google Calendar et Outlook</w:t>
      </w:r>
    </w:p>
    <w:p>
      <w:pPr>
        <w:pStyle w:val="ListParagraph"/>
        <w:numPr>
          <w:ilvl w:val="0"/>
          <w:numId w:val="2"/>
        </w:numPr>
        <w:spacing w:after="40" w:before="40"/>
      </w:pPr>
      <w:r>
        <w:rPr>
          <w:rFonts w:ascii="Calibri" w:cs="Calibri" w:eastAsia="Calibri" w:hAnsi="Calibri"/>
          <w:color w:val="1A1A1A"/>
          <w:sz w:val="22"/>
          <w:szCs w:val="22"/>
        </w:rPr>
        <w:t xml:space="preserve">Rapports d'activité et statistiques (taux d'absentéisme, pics d'absence)</w:t>
      </w:r>
    </w:p>
    <w:p>
      <w:r>
        <w:br w:type="page"/>
      </w:r>
    </w:p>
    <w:p>
      <w:pPr>
        <w:pStyle w:val="Heading2"/>
        <w:spacing w:after="120" w:before="240"/>
      </w:pPr>
      <w:r>
        <w:rPr>
          <w:rFonts w:ascii="Calibri" w:cs="Calibri" w:eastAsia="Calibri" w:hAnsi="Calibri"/>
          <w:b/>
          <w:bCs/>
          <w:color w:val="2E75B6"/>
          <w:sz w:val="26"/>
          <w:szCs w:val="26"/>
        </w:rPr>
        <w:t xml:space="preserve">3.9 Pack Export &amp; Analytics Premium</w:t>
      </w:r>
    </w:p>
    <w:p>
      <w:pPr>
        <w:spacing w:after="40" w:before="40"/>
        <w:jc w:val="left"/>
      </w:pPr>
      <w:r>
        <w:rPr>
          <w:rFonts w:ascii="Calibri" w:cs="Calibri" w:hAnsi="Calibri"/>
          <w:i/>
          <w:iCs/>
          <w:color w:val="E8651A"/>
          <w:sz w:val="18"/>
          <w:szCs w:val="18"/>
        </w:rPr>
        <w:t xml:space="preserve">[ ANALYSE ] OK : exports paie/DSN/virements, formats Sage/Quadra. EN COURS : dashboards. NON : exports programmés automatiques, webhooks, connecteurs BI natifs (~30-50 j/p).</w:t>
      </w:r>
    </w:p>
    <w:p>
      <w:pPr>
        <w:spacing w:after="80" w:before="180"/>
      </w:pPr>
      <w:r>
        <w:rPr>
          <w:rFonts w:ascii="Calibri" w:cs="Calibri" w:eastAsia="Calibri" w:hAnsi="Calibri"/>
          <w:b/>
          <w:bCs/>
          <w:color w:val="1F3A5F"/>
          <w:sz w:val="23"/>
          <w:szCs w:val="23"/>
        </w:rPr>
        <w:t xml:space="preserve">Analytics &amp; Pilotage</w:t>
      </w:r>
    </w:p>
    <w:p>
      <w:pPr>
        <w:pStyle w:val="ListParagraph"/>
        <w:numPr>
          <w:ilvl w:val="0"/>
          <w:numId w:val="2"/>
        </w:numPr>
        <w:spacing w:after="40" w:before="40"/>
      </w:pPr>
      <w:r>
        <w:rPr>
          <w:rFonts w:ascii="Calibri" w:cs="Calibri" w:eastAsia="Calibri" w:hAnsi="Calibri"/>
          <w:color w:val="1A1A1A"/>
          <w:sz w:val="22"/>
          <w:szCs w:val="22"/>
        </w:rPr>
        <w:t xml:space="preserve">Dashboards RH personnalisables</w:t>
      </w:r>
    </w:p>
    <w:p>
      <w:pPr>
        <w:pStyle w:val="ListParagraph"/>
        <w:numPr>
          <w:ilvl w:val="0"/>
          <w:numId w:val="2"/>
        </w:numPr>
        <w:spacing w:after="40" w:before="40"/>
      </w:pPr>
      <w:r>
        <w:rPr>
          <w:rFonts w:ascii="Calibri" w:cs="Calibri" w:eastAsia="Calibri" w:hAnsi="Calibri"/>
          <w:color w:val="1A1A1A"/>
          <w:sz w:val="22"/>
          <w:szCs w:val="22"/>
        </w:rPr>
        <w:t xml:space="preserve">Indicateurs de pilotage (masse salariale, turnover, absentéisme, pyramide des âges)</w:t>
      </w:r>
    </w:p>
    <w:p>
      <w:pPr>
        <w:pStyle w:val="ListParagraph"/>
        <w:numPr>
          <w:ilvl w:val="0"/>
          <w:numId w:val="2"/>
        </w:numPr>
        <w:spacing w:after="40" w:before="40"/>
      </w:pPr>
      <w:r>
        <w:rPr>
          <w:rFonts w:ascii="Calibri" w:cs="Calibri" w:eastAsia="Calibri" w:hAnsi="Calibri"/>
          <w:color w:val="1A1A1A"/>
          <w:sz w:val="22"/>
          <w:szCs w:val="22"/>
        </w:rPr>
        <w:t xml:space="preserve">Vues multi-sites et multi-équipes consolidées (notes de frais par équipe, masse salariale par équipe)</w:t>
      </w:r>
    </w:p>
    <w:p>
      <w:pPr>
        <w:pStyle w:val="ListParagraph"/>
        <w:numPr>
          <w:ilvl w:val="0"/>
          <w:numId w:val="2"/>
        </w:numPr>
        <w:spacing w:after="40" w:before="40"/>
      </w:pPr>
      <w:r>
        <w:rPr>
          <w:rFonts w:ascii="Calibri" w:cs="Calibri" w:eastAsia="Calibri" w:hAnsi="Calibri"/>
          <w:color w:val="1A1A1A"/>
          <w:sz w:val="22"/>
          <w:szCs w:val="22"/>
        </w:rPr>
        <w:t xml:space="preserve">Exports programmés automatiques</w:t>
      </w:r>
    </w:p>
    <w:p>
      <w:pPr>
        <w:spacing w:after="80" w:before="180"/>
      </w:pPr>
      <w:r>
        <w:rPr>
          <w:rFonts w:ascii="Calibri" w:cs="Calibri" w:eastAsia="Calibri" w:hAnsi="Calibri"/>
          <w:b/>
          <w:bCs/>
          <w:color w:val="1F3A5F"/>
          <w:sz w:val="23"/>
          <w:szCs w:val="23"/>
        </w:rPr>
        <w:t xml:space="preserve">Comptabilité analytique</w:t>
      </w:r>
    </w:p>
    <w:p>
      <w:pPr>
        <w:pStyle w:val="ListParagraph"/>
        <w:numPr>
          <w:ilvl w:val="0"/>
          <w:numId w:val="2"/>
        </w:numPr>
        <w:spacing w:after="40" w:before="40"/>
      </w:pPr>
      <w:r>
        <w:rPr>
          <w:rFonts w:ascii="Calibri" w:cs="Calibri" w:eastAsia="Calibri" w:hAnsi="Calibri"/>
          <w:color w:val="1A1A1A"/>
          <w:sz w:val="22"/>
          <w:szCs w:val="22"/>
        </w:rPr>
        <w:t xml:space="preserve">Ventilation analytique des coûts salariés par service, site ou projet</w:t>
      </w:r>
    </w:p>
    <w:p>
      <w:pPr>
        <w:pStyle w:val="ListParagraph"/>
        <w:numPr>
          <w:ilvl w:val="0"/>
          <w:numId w:val="2"/>
        </w:numPr>
        <w:spacing w:after="40" w:before="40"/>
      </w:pPr>
      <w:r>
        <w:rPr>
          <w:rFonts w:ascii="Calibri" w:cs="Calibri" w:eastAsia="Calibri" w:hAnsi="Calibri"/>
          <w:color w:val="1A1A1A"/>
          <w:sz w:val="22"/>
          <w:szCs w:val="22"/>
        </w:rPr>
        <w:t xml:space="preserve">Imputation automatique selon les règles configurées</w:t>
      </w:r>
    </w:p>
    <w:p>
      <w:pPr>
        <w:pStyle w:val="ListParagraph"/>
        <w:numPr>
          <w:ilvl w:val="0"/>
          <w:numId w:val="2"/>
        </w:numPr>
        <w:spacing w:after="40" w:before="40"/>
      </w:pPr>
      <w:r>
        <w:rPr>
          <w:rFonts w:ascii="Calibri" w:cs="Calibri" w:eastAsia="Calibri" w:hAnsi="Calibri"/>
          <w:color w:val="1A1A1A"/>
          <w:sz w:val="22"/>
          <w:szCs w:val="22"/>
        </w:rPr>
        <w:t xml:space="preserve">Exports compatibles avec les outils de pilotage financier</w:t>
      </w:r>
    </w:p>
    <w:p>
      <w:pPr>
        <w:spacing w:after="80" w:before="180"/>
      </w:pPr>
      <w:r>
        <w:rPr>
          <w:rFonts w:ascii="Calibri" w:cs="Calibri" w:eastAsia="Calibri" w:hAnsi="Calibri"/>
          <w:b/>
          <w:bCs/>
          <w:color w:val="1F3A5F"/>
          <w:sz w:val="23"/>
          <w:szCs w:val="23"/>
        </w:rPr>
        <w:t xml:space="preserve">Audit &amp; Conformité</w:t>
      </w:r>
    </w:p>
    <w:p>
      <w:pPr>
        <w:pStyle w:val="ListParagraph"/>
        <w:numPr>
          <w:ilvl w:val="0"/>
          <w:numId w:val="2"/>
        </w:numPr>
        <w:spacing w:after="40" w:before="40"/>
      </w:pPr>
      <w:r>
        <w:rPr>
          <w:rFonts w:ascii="Calibri" w:cs="Calibri" w:eastAsia="Calibri" w:hAnsi="Calibri"/>
          <w:color w:val="1A1A1A"/>
          <w:sz w:val="22"/>
          <w:szCs w:val="22"/>
        </w:rPr>
        <w:t xml:space="preserve">Détection automatique d'anomalies avant validation de paie (incohérences heures, primes, taux horaires)</w:t>
      </w:r>
    </w:p>
    <w:p>
      <w:pPr>
        <w:pStyle w:val="ListParagraph"/>
        <w:numPr>
          <w:ilvl w:val="0"/>
          <w:numId w:val="2"/>
        </w:numPr>
        <w:spacing w:after="40" w:before="40"/>
      </w:pPr>
      <w:r>
        <w:rPr>
          <w:rFonts w:ascii="Calibri" w:cs="Calibri" w:eastAsia="Calibri" w:hAnsi="Calibri"/>
          <w:color w:val="1A1A1A"/>
          <w:sz w:val="22"/>
          <w:szCs w:val="22"/>
        </w:rPr>
        <w:t xml:space="preserve">Rapport d'anomalies avec correction guidée</w:t>
      </w:r>
    </w:p>
    <w:p>
      <w:pPr>
        <w:pStyle w:val="ListParagraph"/>
        <w:numPr>
          <w:ilvl w:val="0"/>
          <w:numId w:val="2"/>
        </w:numPr>
        <w:spacing w:after="40" w:before="40"/>
      </w:pPr>
      <w:r>
        <w:rPr>
          <w:rFonts w:ascii="Calibri" w:cs="Calibri" w:eastAsia="Calibri" w:hAnsi="Calibri"/>
          <w:color w:val="1A1A1A"/>
          <w:sz w:val="22"/>
          <w:szCs w:val="22"/>
        </w:rPr>
        <w:t xml:space="preserve">Historique complet et horodaté des actions</w:t>
      </w:r>
    </w:p>
    <w:p>
      <w:pPr>
        <w:pStyle w:val="ListParagraph"/>
        <w:numPr>
          <w:ilvl w:val="0"/>
          <w:numId w:val="2"/>
        </w:numPr>
        <w:spacing w:after="40" w:before="40"/>
      </w:pPr>
      <w:r>
        <w:rPr>
          <w:rFonts w:ascii="Calibri" w:cs="Calibri" w:eastAsia="Calibri" w:hAnsi="Calibri"/>
          <w:color w:val="1A1A1A"/>
          <w:sz w:val="22"/>
          <w:szCs w:val="22"/>
        </w:rPr>
        <w:t xml:space="preserve">Traçabilité pour les contrôles URSSAF et audits comptables</w:t>
      </w:r>
    </w:p>
    <w:p>
      <w:pPr>
        <w:spacing w:after="80" w:before="180"/>
      </w:pPr>
      <w:r>
        <w:rPr>
          <w:rFonts w:ascii="Calibri" w:cs="Calibri" w:eastAsia="Calibri" w:hAnsi="Calibri"/>
          <w:b/>
          <w:bCs/>
          <w:color w:val="1F3A5F"/>
          <w:sz w:val="23"/>
          <w:szCs w:val="23"/>
        </w:rPr>
        <w:t xml:space="preserve">API &amp; Intégrations avancées</w:t>
      </w:r>
    </w:p>
    <w:p>
      <w:pPr>
        <w:pStyle w:val="ListParagraph"/>
        <w:numPr>
          <w:ilvl w:val="0"/>
          <w:numId w:val="2"/>
        </w:numPr>
        <w:spacing w:after="40" w:before="40"/>
      </w:pPr>
      <w:r>
        <w:rPr>
          <w:rFonts w:ascii="Calibri" w:cs="Calibri" w:eastAsia="Calibri" w:hAnsi="Calibri"/>
          <w:color w:val="1A1A1A"/>
          <w:sz w:val="22"/>
          <w:szCs w:val="22"/>
        </w:rPr>
        <w:t xml:space="preserve">API REST documentée pour intégration dans le SI de l'acquéreur</w:t>
      </w:r>
    </w:p>
    <w:p>
      <w:pPr>
        <w:pStyle w:val="ListParagraph"/>
        <w:numPr>
          <w:ilvl w:val="0"/>
          <w:numId w:val="2"/>
        </w:numPr>
        <w:spacing w:after="40" w:before="40"/>
      </w:pPr>
      <w:r>
        <w:rPr>
          <w:rFonts w:ascii="Calibri" w:cs="Calibri" w:eastAsia="Calibri" w:hAnsi="Calibri"/>
          <w:color w:val="1A1A1A"/>
          <w:sz w:val="22"/>
          <w:szCs w:val="22"/>
        </w:rPr>
        <w:t xml:space="preserve">Webhooks pour les événements métier (embauche, départ, bulletin validé)</w:t>
      </w:r>
    </w:p>
    <w:p>
      <w:pPr>
        <w:pStyle w:val="ListParagraph"/>
        <w:numPr>
          <w:ilvl w:val="0"/>
          <w:numId w:val="2"/>
        </w:numPr>
        <w:spacing w:after="40" w:before="40"/>
      </w:pPr>
      <w:r>
        <w:rPr>
          <w:rFonts w:ascii="Calibri" w:cs="Calibri" w:eastAsia="Calibri" w:hAnsi="Calibri"/>
          <w:color w:val="1A1A1A"/>
          <w:sz w:val="22"/>
          <w:szCs w:val="22"/>
        </w:rPr>
        <w:t xml:space="preserve">Connecteurs BI externes (Power BI, Tableau, Metabase)</w:t>
      </w:r>
    </w:p>
    <w:p>
      <w:pPr>
        <w:pStyle w:val="Heading2"/>
        <w:spacing w:after="120" w:before="240"/>
      </w:pPr>
      <w:r>
        <w:rPr>
          <w:rFonts w:ascii="Calibri" w:cs="Calibri" w:eastAsia="Calibri" w:hAnsi="Calibri"/>
          <w:b/>
          <w:bCs/>
          <w:color w:val="2E75B6"/>
          <w:sz w:val="26"/>
          <w:szCs w:val="26"/>
        </w:rPr>
        <w:t xml:space="preserve">3.10 Pack Expert-Comptable</w:t>
      </w:r>
    </w:p>
    <w:p>
      <w:pPr>
        <w:spacing w:after="40" w:before="40"/>
        <w:jc w:val="left"/>
      </w:pPr>
      <w:r>
        <w:rPr>
          <w:rFonts w:ascii="Calibri" w:cs="Calibri" w:hAnsi="Calibri"/>
          <w:i/>
          <w:iCs/>
          <w:color w:val="E8651A"/>
          <w:sz w:val="18"/>
          <w:szCs w:val="18"/>
        </w:rPr>
        <w:t xml:space="preserve">[ ANALYSE ] OK : multi-sociétés, Sage/Quadra/générique. PARTIEL : "15+ formats" surreprésenté, Cegid/QuickBooks/Pennylane non confirmés dans le code. DAS2/DADS à mapper.</w:t>
      </w:r>
    </w:p>
    <w:p>
      <w:pPr>
        <w:pStyle w:val="ListParagraph"/>
        <w:numPr>
          <w:ilvl w:val="0"/>
          <w:numId w:val="2"/>
        </w:numPr>
        <w:spacing w:after="40" w:before="40"/>
      </w:pPr>
      <w:r>
        <w:rPr>
          <w:rFonts w:ascii="Calibri" w:cs="Calibri" w:eastAsia="Calibri" w:hAnsi="Calibri"/>
          <w:color w:val="1A1A1A"/>
          <w:sz w:val="22"/>
          <w:szCs w:val="22"/>
        </w:rPr>
        <w:t xml:space="preserve">Interface multi-clients avec vue consolidée du portefeuille</w:t>
      </w:r>
    </w:p>
    <w:p>
      <w:pPr>
        <w:pStyle w:val="ListParagraph"/>
        <w:numPr>
          <w:ilvl w:val="0"/>
          <w:numId w:val="2"/>
        </w:numPr>
        <w:spacing w:after="40" w:before="40"/>
      </w:pPr>
      <w:r>
        <w:rPr>
          <w:rFonts w:ascii="Calibri" w:cs="Calibri" w:eastAsia="Calibri" w:hAnsi="Calibri"/>
          <w:color w:val="1A1A1A"/>
          <w:sz w:val="22"/>
          <w:szCs w:val="22"/>
        </w:rPr>
        <w:t xml:space="preserve">Exports comptables personnalisables (plus de 15 formats)</w:t>
      </w:r>
    </w:p>
    <w:p>
      <w:pPr>
        <w:pStyle w:val="ListParagraph"/>
        <w:numPr>
          <w:ilvl w:val="0"/>
          <w:numId w:val="2"/>
        </w:numPr>
        <w:spacing w:after="40" w:before="40"/>
      </w:pPr>
      <w:r>
        <w:rPr>
          <w:rFonts w:ascii="Calibri" w:cs="Calibri" w:eastAsia="Calibri" w:hAnsi="Calibri"/>
          <w:color w:val="1A1A1A"/>
          <w:sz w:val="22"/>
          <w:szCs w:val="22"/>
        </w:rPr>
        <w:t xml:space="preserve">Intégrations natives avec Sage, Cegid, QuickBooks et Pennylane</w:t>
      </w:r>
    </w:p>
    <w:p>
      <w:pPr>
        <w:pStyle w:val="ListParagraph"/>
        <w:numPr>
          <w:ilvl w:val="0"/>
          <w:numId w:val="2"/>
        </w:numPr>
        <w:spacing w:after="40" w:before="40"/>
      </w:pPr>
      <w:r>
        <w:rPr>
          <w:rFonts w:ascii="Calibri" w:cs="Calibri" w:eastAsia="Calibri" w:hAnsi="Calibri"/>
          <w:color w:val="1A1A1A"/>
          <w:sz w:val="22"/>
          <w:szCs w:val="22"/>
        </w:rPr>
        <w:t xml:space="preserve">Récupération automatique des bulletins de paie des clients</w:t>
      </w:r>
    </w:p>
    <w:p>
      <w:pPr>
        <w:pStyle w:val="ListParagraph"/>
        <w:numPr>
          <w:ilvl w:val="0"/>
          <w:numId w:val="2"/>
        </w:numPr>
        <w:spacing w:after="40" w:before="40"/>
      </w:pPr>
      <w:r>
        <w:rPr>
          <w:rFonts w:ascii="Calibri" w:cs="Calibri" w:eastAsia="Calibri" w:hAnsi="Calibri"/>
          <w:color w:val="1A1A1A"/>
          <w:sz w:val="22"/>
          <w:szCs w:val="22"/>
        </w:rPr>
        <w:t xml:space="preserve">Déclarations sociales (DSN, DAS2, DADS)</w:t>
      </w:r>
    </w:p>
    <w:p>
      <w:pPr>
        <w:pStyle w:val="ListParagraph"/>
        <w:numPr>
          <w:ilvl w:val="0"/>
          <w:numId w:val="2"/>
        </w:numPr>
        <w:spacing w:after="40" w:before="40"/>
      </w:pPr>
      <w:r>
        <w:rPr>
          <w:rFonts w:ascii="Calibri" w:cs="Calibri" w:eastAsia="Calibri" w:hAnsi="Calibri"/>
          <w:color w:val="1A1A1A"/>
          <w:sz w:val="22"/>
          <w:szCs w:val="22"/>
        </w:rPr>
        <w:t xml:space="preserve">Validation de paie avant clôture</w:t>
      </w:r>
    </w:p>
    <w:p>
      <w:pPr>
        <w:pStyle w:val="ListParagraph"/>
        <w:numPr>
          <w:ilvl w:val="0"/>
          <w:numId w:val="2"/>
        </w:numPr>
        <w:spacing w:after="40" w:before="40"/>
      </w:pPr>
      <w:r>
        <w:rPr>
          <w:rFonts w:ascii="Calibri" w:cs="Calibri" w:eastAsia="Calibri" w:hAnsi="Calibri"/>
          <w:color w:val="1A1A1A"/>
          <w:sz w:val="22"/>
          <w:szCs w:val="22"/>
        </w:rPr>
        <w:t xml:space="preserve">Alertes d'anomalies et non-conformités</w:t>
      </w:r>
    </w:p>
    <w:p>
      <w:pPr>
        <w:pStyle w:val="ListParagraph"/>
        <w:numPr>
          <w:ilvl w:val="0"/>
          <w:numId w:val="2"/>
        </w:numPr>
        <w:spacing w:after="40" w:before="40"/>
      </w:pPr>
      <w:r>
        <w:rPr>
          <w:rFonts w:ascii="Calibri" w:cs="Calibri" w:eastAsia="Calibri" w:hAnsi="Calibri"/>
          <w:color w:val="1A1A1A"/>
          <w:sz w:val="22"/>
          <w:szCs w:val="22"/>
        </w:rPr>
        <w:t xml:space="preserve">Dashboard consolidé multi-clients</w:t>
      </w:r>
    </w:p>
    <w:p>
      <w:pPr>
        <w:pStyle w:val="ListParagraph"/>
        <w:numPr>
          <w:ilvl w:val="0"/>
          <w:numId w:val="2"/>
        </w:numPr>
        <w:spacing w:after="40" w:before="40"/>
      </w:pPr>
      <w:r>
        <w:rPr>
          <w:rFonts w:ascii="Calibri" w:cs="Calibri" w:eastAsia="Calibri" w:hAnsi="Calibri"/>
          <w:color w:val="1A1A1A"/>
          <w:sz w:val="22"/>
          <w:szCs w:val="22"/>
        </w:rPr>
        <w:t xml:space="preserve">Reporting mensuel automatisé</w:t>
      </w:r>
    </w:p>
    <w:p>
      <w:pPr>
        <w:pStyle w:val="Heading2"/>
        <w:spacing w:after="120" w:before="240"/>
      </w:pPr>
      <w:r>
        <w:rPr>
          <w:rFonts w:ascii="Calibri" w:cs="Calibri" w:eastAsia="Calibri" w:hAnsi="Calibri"/>
          <w:b/>
          <w:bCs/>
          <w:color w:val="2E75B6"/>
          <w:sz w:val="26"/>
          <w:szCs w:val="26"/>
        </w:rPr>
        <w:t xml:space="preserve">3.11 Module IA transverse</w:t>
      </w:r>
    </w:p>
    <w:p>
      <w:pPr>
        <w:spacing w:after="40" w:before="40"/>
        <w:jc w:val="left"/>
      </w:pPr>
      <w:r>
        <w:rPr>
          <w:rFonts w:ascii="Calibri" w:cs="Calibri" w:hAnsi="Calibri"/>
          <w:i/>
          <w:iCs/>
          <w:color w:val="E8651A"/>
          <w:sz w:val="18"/>
          <w:szCs w:val="18"/>
        </w:rPr>
        <w:t xml:space="preserve">[ ANALYSE ] OK : socle LLM, copilot text-to-SQL. PARTIEL : assistant métier complet, automatisations onboarding/offboarding, actions depuis le chat = gap important vs promesse commerciale (~40-80 j/p).</w:t>
      </w:r>
    </w:p>
    <w:p>
      <w:pPr>
        <w:spacing w:after="60" w:before="60"/>
        <w:jc w:val="left"/>
      </w:pPr>
      <w:r>
        <w:rPr>
          <w:rFonts w:ascii="Calibri" w:cs="Calibri" w:eastAsia="Calibri" w:hAnsi="Calibri"/>
          <w:b w:val="false"/>
          <w:bCs w:val="false"/>
          <w:i w:val="false"/>
          <w:iCs w:val="false"/>
          <w:color w:val="1A1A1A"/>
          <w:sz w:val="22"/>
          <w:szCs w:val="22"/>
        </w:rPr>
        <w:t xml:space="preserve">Le module IA constitue un socle transverse intégré à l'ensemble des packs. Il est composé de trois briques techniques.</w:t>
      </w:r>
    </w:p>
    <w:p>
      <w:pPr>
        <w:spacing w:after="80" w:before="180"/>
      </w:pPr>
      <w:r>
        <w:rPr>
          <w:rFonts w:ascii="Calibri" w:cs="Calibri" w:eastAsia="Calibri" w:hAnsi="Calibri"/>
          <w:b/>
          <w:bCs/>
          <w:color w:val="1F3A5F"/>
          <w:sz w:val="23"/>
          <w:szCs w:val="23"/>
        </w:rPr>
        <w:t xml:space="preserve">Assistant paie conversationnel</w:t>
      </w:r>
    </w:p>
    <w:p>
      <w:pPr>
        <w:pStyle w:val="ListParagraph"/>
        <w:numPr>
          <w:ilvl w:val="0"/>
          <w:numId w:val="2"/>
        </w:numPr>
        <w:spacing w:after="40" w:before="40"/>
      </w:pPr>
      <w:r>
        <w:rPr>
          <w:rFonts w:ascii="Calibri" w:cs="Calibri" w:eastAsia="Calibri" w:hAnsi="Calibri"/>
          <w:color w:val="1A1A1A"/>
          <w:sz w:val="22"/>
          <w:szCs w:val="22"/>
        </w:rPr>
        <w:t xml:space="preserve">Interface conversationnelle accessible aux RH et aux salariés</w:t>
      </w:r>
    </w:p>
    <w:p>
      <w:pPr>
        <w:pStyle w:val="ListParagraph"/>
        <w:numPr>
          <w:ilvl w:val="0"/>
          <w:numId w:val="2"/>
        </w:numPr>
        <w:spacing w:after="40" w:before="40"/>
      </w:pPr>
      <w:r>
        <w:rPr>
          <w:rFonts w:ascii="Calibri" w:cs="Calibri" w:eastAsia="Calibri" w:hAnsi="Calibri"/>
          <w:color w:val="1A1A1A"/>
          <w:sz w:val="22"/>
          <w:szCs w:val="22"/>
        </w:rPr>
        <w:t xml:space="preserve">Réponse aux questions RH et explication pédagogique des bulletins</w:t>
      </w:r>
    </w:p>
    <w:p>
      <w:pPr>
        <w:pStyle w:val="ListParagraph"/>
        <w:numPr>
          <w:ilvl w:val="0"/>
          <w:numId w:val="2"/>
        </w:numPr>
        <w:spacing w:after="40" w:before="40"/>
      </w:pPr>
      <w:r>
        <w:rPr>
          <w:rFonts w:ascii="Calibri" w:cs="Calibri" w:eastAsia="Calibri" w:hAnsi="Calibri"/>
          <w:color w:val="1A1A1A"/>
          <w:sz w:val="22"/>
          <w:szCs w:val="22"/>
        </w:rPr>
        <w:t xml:space="preserve">Génération automatique d'attestations, certificats et courriers</w:t>
      </w:r>
    </w:p>
    <w:p>
      <w:pPr>
        <w:pStyle w:val="ListParagraph"/>
        <w:numPr>
          <w:ilvl w:val="0"/>
          <w:numId w:val="2"/>
        </w:numPr>
        <w:spacing w:after="40" w:before="40"/>
      </w:pPr>
      <w:r>
        <w:rPr>
          <w:rFonts w:ascii="Calibri" w:cs="Calibri" w:eastAsia="Calibri" w:hAnsi="Calibri"/>
          <w:color w:val="1A1A1A"/>
          <w:sz w:val="22"/>
          <w:szCs w:val="22"/>
        </w:rPr>
        <w:t xml:space="preserve">Simulations conversationnelles (impact masse salariale d'une augmentation, coût d'un recrutement)</w:t>
      </w:r>
    </w:p>
    <w:p>
      <w:pPr>
        <w:pStyle w:val="ListParagraph"/>
        <w:numPr>
          <w:ilvl w:val="0"/>
          <w:numId w:val="2"/>
        </w:numPr>
        <w:spacing w:after="40" w:before="40"/>
      </w:pPr>
      <w:r>
        <w:rPr>
          <w:rFonts w:ascii="Calibri" w:cs="Calibri" w:eastAsia="Calibri" w:hAnsi="Calibri"/>
          <w:color w:val="1A1A1A"/>
          <w:sz w:val="22"/>
          <w:szCs w:val="22"/>
        </w:rPr>
        <w:t xml:space="preserve">Connaissance intégrée des CCN avec capacité à citer les articles applicables</w:t>
      </w:r>
    </w:p>
    <w:p>
      <w:pPr>
        <w:spacing w:after="80" w:before="180"/>
      </w:pPr>
      <w:r>
        <w:rPr>
          <w:rFonts w:ascii="Calibri" w:cs="Calibri" w:eastAsia="Calibri" w:hAnsi="Calibri"/>
          <w:b/>
          <w:bCs/>
          <w:color w:val="1F3A5F"/>
          <w:sz w:val="23"/>
          <w:szCs w:val="23"/>
        </w:rPr>
        <w:t xml:space="preserve">Automatisations intelligentes</w:t>
      </w:r>
    </w:p>
    <w:p>
      <w:pPr>
        <w:pStyle w:val="ListParagraph"/>
        <w:numPr>
          <w:ilvl w:val="0"/>
          <w:numId w:val="2"/>
        </w:numPr>
        <w:spacing w:after="40" w:before="40"/>
      </w:pPr>
      <w:r>
        <w:rPr>
          <w:rFonts w:ascii="Calibri" w:cs="Calibri" w:eastAsia="Calibri" w:hAnsi="Calibri"/>
          <w:color w:val="1A1A1A"/>
          <w:sz w:val="22"/>
          <w:szCs w:val="22"/>
        </w:rPr>
        <w:t xml:space="preserve">Détection automatique des anomalies avant validation de paie</w:t>
      </w:r>
    </w:p>
    <w:p>
      <w:pPr>
        <w:pStyle w:val="ListParagraph"/>
        <w:numPr>
          <w:ilvl w:val="0"/>
          <w:numId w:val="2"/>
        </w:numPr>
        <w:spacing w:after="40" w:before="40"/>
      </w:pPr>
      <w:r>
        <w:rPr>
          <w:rFonts w:ascii="Calibri" w:cs="Calibri" w:eastAsia="Calibri" w:hAnsi="Calibri"/>
          <w:color w:val="1A1A1A"/>
          <w:sz w:val="22"/>
          <w:szCs w:val="22"/>
        </w:rPr>
        <w:t xml:space="preserve">Détection des non-conformités CCN</w:t>
      </w:r>
    </w:p>
    <w:p>
      <w:pPr>
        <w:pStyle w:val="ListParagraph"/>
        <w:numPr>
          <w:ilvl w:val="0"/>
          <w:numId w:val="2"/>
        </w:numPr>
        <w:spacing w:after="40" w:before="40"/>
      </w:pPr>
      <w:r>
        <w:rPr>
          <w:rFonts w:ascii="Calibri" w:cs="Calibri" w:eastAsia="Calibri" w:hAnsi="Calibri"/>
          <w:color w:val="1A1A1A"/>
          <w:sz w:val="22"/>
          <w:szCs w:val="22"/>
        </w:rPr>
        <w:t xml:space="preserve">Recommandations de benchmarks salariaux par poste et par région</w:t>
      </w:r>
    </w:p>
    <w:p>
      <w:pPr>
        <w:pStyle w:val="ListParagraph"/>
        <w:numPr>
          <w:ilvl w:val="0"/>
          <w:numId w:val="2"/>
        </w:numPr>
        <w:spacing w:after="40" w:before="40"/>
      </w:pPr>
      <w:r>
        <w:rPr>
          <w:rFonts w:ascii="Calibri" w:cs="Calibri" w:eastAsia="Calibri" w:hAnsi="Calibri"/>
          <w:color w:val="1A1A1A"/>
          <w:sz w:val="22"/>
          <w:szCs w:val="22"/>
        </w:rPr>
        <w:t xml:space="preserve">Planning d'absences optimisé (alertes sur sur-absence simultanée)</w:t>
      </w:r>
    </w:p>
    <w:p>
      <w:pPr>
        <w:pStyle w:val="ListParagraph"/>
        <w:numPr>
          <w:ilvl w:val="0"/>
          <w:numId w:val="2"/>
        </w:numPr>
        <w:spacing w:after="40" w:before="40"/>
      </w:pPr>
      <w:r>
        <w:rPr>
          <w:rFonts w:ascii="Calibri" w:cs="Calibri" w:eastAsia="Calibri" w:hAnsi="Calibri"/>
          <w:color w:val="1A1A1A"/>
          <w:sz w:val="22"/>
          <w:szCs w:val="22"/>
        </w:rPr>
        <w:t xml:space="preserve">Onboarding et offboarding salarié automatisés (génération contrat, emails, accès)</w:t>
      </w:r>
    </w:p>
    <w:p>
      <w:pPr>
        <w:spacing w:after="80" w:before="180"/>
      </w:pPr>
      <w:r>
        <w:rPr>
          <w:rFonts w:ascii="Calibri" w:cs="Calibri" w:eastAsia="Calibri" w:hAnsi="Calibri"/>
          <w:b/>
          <w:bCs/>
          <w:color w:val="1F3A5F"/>
          <w:sz w:val="23"/>
          <w:szCs w:val="23"/>
        </w:rPr>
        <w:t xml:space="preserve">Socle technique</w:t>
      </w:r>
    </w:p>
    <w:p>
      <w:pPr>
        <w:pStyle w:val="ListParagraph"/>
        <w:numPr>
          <w:ilvl w:val="0"/>
          <w:numId w:val="2"/>
        </w:numPr>
        <w:spacing w:after="40" w:before="40"/>
      </w:pPr>
      <w:r>
        <w:rPr>
          <w:rFonts w:ascii="Calibri" w:cs="Calibri" w:eastAsia="Calibri" w:hAnsi="Calibri"/>
          <w:color w:val="1A1A1A"/>
          <w:sz w:val="22"/>
          <w:szCs w:val="22"/>
        </w:rPr>
        <w:t xml:space="preserve">Intégration API LLM avec prompts métier spécifiques à la paie</w:t>
      </w:r>
    </w:p>
    <w:p>
      <w:pPr>
        <w:pStyle w:val="ListParagraph"/>
        <w:numPr>
          <w:ilvl w:val="0"/>
          <w:numId w:val="2"/>
        </w:numPr>
        <w:spacing w:after="40" w:before="40"/>
      </w:pPr>
      <w:r>
        <w:rPr>
          <w:rFonts w:ascii="Calibri" w:cs="Calibri" w:eastAsia="Calibri" w:hAnsi="Calibri"/>
          <w:color w:val="1A1A1A"/>
          <w:sz w:val="22"/>
          <w:szCs w:val="22"/>
        </w:rPr>
        <w:t xml:space="preserve">Base de connaissance interne (CCN, jurisprudence, documentation produit)</w:t>
      </w:r>
    </w:p>
    <w:p>
      <w:pPr>
        <w:pStyle w:val="ListParagraph"/>
        <w:numPr>
          <w:ilvl w:val="0"/>
          <w:numId w:val="2"/>
        </w:numPr>
        <w:spacing w:after="40" w:before="40"/>
      </w:pPr>
      <w:r>
        <w:rPr>
          <w:rFonts w:ascii="Calibri" w:cs="Calibri" w:eastAsia="Calibri" w:hAnsi="Calibri"/>
          <w:color w:val="1A1A1A"/>
          <w:sz w:val="22"/>
          <w:szCs w:val="22"/>
        </w:rPr>
        <w:t xml:space="preserve">Actions exécutables depuis l'interface IA (génération d'avenants, lancement de campagnes, export d'attestations)</w:t>
      </w:r>
    </w:p>
    <w:p>
      <w:r>
        <w:br w:type="page"/>
      </w:r>
    </w:p>
    <w:p>
      <w:pPr>
        <w:pStyle w:val="Heading1"/>
        <w:spacing w:after="160" w:before="360"/>
      </w:pPr>
      <w:r>
        <w:rPr>
          <w:rFonts w:ascii="Calibri" w:cs="Calibri" w:eastAsia="Calibri" w:hAnsi="Calibri"/>
          <w:b/>
          <w:bCs/>
          <w:color w:val="1F3A5F"/>
          <w:sz w:val="32"/>
          <w:szCs w:val="32"/>
        </w:rPr>
        <w:t xml:space="preserve">4. Modalités de cession</w:t>
      </w:r>
    </w:p>
    <w:p>
      <w:pPr>
        <w:spacing w:after="60" w:before="60"/>
        <w:jc w:val="left"/>
      </w:pPr>
      <w:r>
        <w:rPr>
          <w:rFonts w:ascii="Calibri" w:cs="Calibri" w:eastAsia="Calibri" w:hAnsi="Calibri"/>
          <w:b w:val="false"/>
          <w:bCs w:val="false"/>
          <w:i w:val="false"/>
          <w:iCs w:val="false"/>
          <w:color w:val="1A1A1A"/>
          <w:sz w:val="22"/>
          <w:szCs w:val="22"/>
        </w:rPr>
        <w:t xml:space="preserve">La cession EYWAI au montant forfaitaire de 130 000 € HT comprend l'intégralité des éléments suivants, transférés en pleine propriété à l'acquéreur.</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4.1 Éléments cédés</w:t>
      </w:r>
    </w:p>
    <w:p>
      <w:pPr>
        <w:spacing w:after="80" w:before="180"/>
      </w:pPr>
      <w:r>
        <w:rPr>
          <w:rFonts w:ascii="Calibri" w:cs="Calibri" w:eastAsia="Calibri" w:hAnsi="Calibri"/>
          <w:b/>
          <w:bCs/>
          <w:color w:val="1F3A5F"/>
          <w:sz w:val="23"/>
          <w:szCs w:val="23"/>
        </w:rPr>
        <w:t xml:space="preserve">Actifs techniques</w:t>
      </w:r>
    </w:p>
    <w:p>
      <w:pPr>
        <w:pStyle w:val="ListParagraph"/>
        <w:numPr>
          <w:ilvl w:val="0"/>
          <w:numId w:val="2"/>
        </w:numPr>
        <w:spacing w:after="40" w:before="40"/>
      </w:pPr>
      <w:r>
        <w:rPr>
          <w:rFonts w:ascii="Calibri" w:cs="Calibri" w:eastAsia="Calibri" w:hAnsi="Calibri"/>
          <w:color w:val="1A1A1A"/>
          <w:sz w:val="22"/>
          <w:szCs w:val="22"/>
        </w:rPr>
        <w:t xml:space="preserve">Code source complet et à jour de la solution EYWAI (frontend, backend, module IA, applications mobiles)</w:t>
      </w:r>
    </w:p>
    <w:p>
      <w:pPr>
        <w:pStyle w:val="ListParagraph"/>
        <w:numPr>
          <w:ilvl w:val="0"/>
          <w:numId w:val="2"/>
        </w:numPr>
        <w:spacing w:after="40" w:before="40"/>
      </w:pPr>
      <w:r>
        <w:rPr>
          <w:rFonts w:ascii="Calibri" w:cs="Calibri" w:eastAsia="Calibri" w:hAnsi="Calibri"/>
          <w:color w:val="1A1A1A"/>
          <w:sz w:val="22"/>
          <w:szCs w:val="22"/>
        </w:rPr>
        <w:t xml:space="preserve">Repositories de code source et historique Git</w:t>
      </w:r>
    </w:p>
    <w:p>
      <w:pPr>
        <w:pStyle w:val="ListParagraph"/>
        <w:numPr>
          <w:ilvl w:val="0"/>
          <w:numId w:val="2"/>
        </w:numPr>
        <w:spacing w:after="40" w:before="40"/>
      </w:pPr>
      <w:r>
        <w:rPr>
          <w:rFonts w:ascii="Calibri" w:cs="Calibri" w:eastAsia="Calibri" w:hAnsi="Calibri"/>
          <w:color w:val="1A1A1A"/>
          <w:sz w:val="22"/>
          <w:szCs w:val="22"/>
        </w:rPr>
        <w:t xml:space="preserve">Scripts de déploiement et d'infrastructure (configuration, CI/CD)</w:t>
      </w:r>
    </w:p>
    <w:p>
      <w:pPr>
        <w:pStyle w:val="ListParagraph"/>
        <w:numPr>
          <w:ilvl w:val="0"/>
          <w:numId w:val="2"/>
        </w:numPr>
        <w:spacing w:after="40" w:before="40"/>
      </w:pPr>
      <w:r>
        <w:rPr>
          <w:rFonts w:ascii="Calibri" w:cs="Calibri" w:eastAsia="Calibri" w:hAnsi="Calibri"/>
          <w:color w:val="1A1A1A"/>
          <w:sz w:val="22"/>
          <w:szCs w:val="22"/>
        </w:rPr>
        <w:t xml:space="preserve">Bases de données de référence (CCN, barèmes, quotités, grilles, référentiels)</w:t>
      </w:r>
    </w:p>
    <w:p>
      <w:pPr>
        <w:pStyle w:val="ListParagraph"/>
        <w:numPr>
          <w:ilvl w:val="0"/>
          <w:numId w:val="2"/>
        </w:numPr>
        <w:spacing w:after="40" w:before="40"/>
      </w:pPr>
      <w:r>
        <w:rPr>
          <w:rFonts w:ascii="Calibri" w:cs="Calibri" w:eastAsia="Calibri" w:hAnsi="Calibri"/>
          <w:color w:val="1A1A1A"/>
          <w:sz w:val="22"/>
          <w:szCs w:val="22"/>
        </w:rPr>
        <w:t xml:space="preserve">Prompts, configurations et architecture du module IA</w:t>
      </w:r>
    </w:p>
    <w:p>
      <w:pPr>
        <w:spacing w:after="80" w:before="180"/>
      </w:pPr>
      <w:r>
        <w:rPr>
          <w:rFonts w:ascii="Calibri" w:cs="Calibri" w:eastAsia="Calibri" w:hAnsi="Calibri"/>
          <w:b/>
          <w:bCs/>
          <w:color w:val="1F3A5F"/>
          <w:sz w:val="23"/>
          <w:szCs w:val="23"/>
        </w:rPr>
        <w:t xml:space="preserve">Actifs de propriété intellectuelle</w:t>
      </w:r>
    </w:p>
    <w:p>
      <w:pPr>
        <w:pStyle w:val="ListParagraph"/>
        <w:numPr>
          <w:ilvl w:val="0"/>
          <w:numId w:val="2"/>
        </w:numPr>
        <w:spacing w:after="40" w:before="40"/>
      </w:pPr>
      <w:r>
        <w:rPr>
          <w:rFonts w:ascii="Calibri" w:cs="Calibri" w:eastAsia="Calibri" w:hAnsi="Calibri"/>
          <w:color w:val="1A1A1A"/>
          <w:sz w:val="22"/>
          <w:szCs w:val="22"/>
        </w:rPr>
        <w:t xml:space="preserve">Droits patrimoniaux sur le code source et les développements associés</w:t>
      </w:r>
    </w:p>
    <w:p>
      <w:pPr>
        <w:pStyle w:val="ListParagraph"/>
        <w:numPr>
          <w:ilvl w:val="0"/>
          <w:numId w:val="2"/>
        </w:numPr>
        <w:spacing w:after="40" w:before="40"/>
      </w:pPr>
      <w:r>
        <w:rPr>
          <w:rFonts w:ascii="Calibri" w:cs="Calibri" w:eastAsia="Calibri" w:hAnsi="Calibri"/>
          <w:color w:val="1A1A1A"/>
          <w:sz w:val="22"/>
          <w:szCs w:val="22"/>
        </w:rPr>
        <w:t xml:space="preserve">Droits sur les éléments graphiques, maquettes et chartes produit</w:t>
      </w:r>
    </w:p>
    <w:p>
      <w:pPr>
        <w:pStyle w:val="ListParagraph"/>
        <w:numPr>
          <w:ilvl w:val="0"/>
          <w:numId w:val="2"/>
        </w:numPr>
        <w:spacing w:after="40" w:before="40"/>
      </w:pPr>
      <w:r>
        <w:rPr>
          <w:rFonts w:ascii="Calibri" w:cs="Calibri" w:eastAsia="Calibri" w:hAnsi="Calibri"/>
          <w:color w:val="1A1A1A"/>
          <w:sz w:val="22"/>
          <w:szCs w:val="22"/>
        </w:rPr>
        <w:t xml:space="preserve">Droits sur les architectures fonctionnelles et techniques documentées</w:t>
      </w:r>
    </w:p>
    <w:p>
      <w:pPr>
        <w:spacing w:after="80" w:before="180"/>
      </w:pPr>
      <w:r>
        <w:rPr>
          <w:rFonts w:ascii="Calibri" w:cs="Calibri" w:eastAsia="Calibri" w:hAnsi="Calibri"/>
          <w:b/>
          <w:bCs/>
          <w:color w:val="1F3A5F"/>
          <w:sz w:val="23"/>
          <w:szCs w:val="23"/>
        </w:rPr>
        <w:t xml:space="preserve">Actifs documentaires</w:t>
      </w:r>
    </w:p>
    <w:p>
      <w:pPr>
        <w:pStyle w:val="ListParagraph"/>
        <w:numPr>
          <w:ilvl w:val="0"/>
          <w:numId w:val="2"/>
        </w:numPr>
        <w:spacing w:after="40" w:before="40"/>
      </w:pPr>
      <w:r>
        <w:rPr>
          <w:rFonts w:ascii="Calibri" w:cs="Calibri" w:eastAsia="Calibri" w:hAnsi="Calibri"/>
          <w:color w:val="1A1A1A"/>
          <w:sz w:val="22"/>
          <w:szCs w:val="22"/>
        </w:rPr>
        <w:t xml:space="preserve">Documentation technique (architecture, API, schéma de base de données)</w:t>
      </w:r>
    </w:p>
    <w:p>
      <w:pPr>
        <w:pStyle w:val="ListParagraph"/>
        <w:numPr>
          <w:ilvl w:val="0"/>
          <w:numId w:val="2"/>
        </w:numPr>
        <w:spacing w:after="40" w:before="40"/>
      </w:pPr>
      <w:r>
        <w:rPr>
          <w:rFonts w:ascii="Calibri" w:cs="Calibri" w:eastAsia="Calibri" w:hAnsi="Calibri"/>
          <w:color w:val="1A1A1A"/>
          <w:sz w:val="22"/>
          <w:szCs w:val="22"/>
        </w:rPr>
        <w:t xml:space="preserve">Documentation produit (spécifications fonctionnelles, parcours utilisateurs) pour l'ensemble des packs</w:t>
      </w:r>
    </w:p>
    <w:p>
      <w:pPr>
        <w:pStyle w:val="ListParagraph"/>
        <w:numPr>
          <w:ilvl w:val="0"/>
          <w:numId w:val="2"/>
        </w:numPr>
        <w:spacing w:after="40" w:before="40"/>
      </w:pPr>
      <w:r>
        <w:rPr>
          <w:rFonts w:ascii="Calibri" w:cs="Calibri" w:eastAsia="Calibri" w:hAnsi="Calibri"/>
          <w:color w:val="1A1A1A"/>
          <w:sz w:val="22"/>
          <w:szCs w:val="22"/>
        </w:rPr>
        <w:t xml:space="preserve">Checklist d'onboarding client structurée (8 sections, 80+ points)</w:t>
      </w:r>
    </w:p>
    <w:p>
      <w:pPr>
        <w:pStyle w:val="ListParagraph"/>
        <w:numPr>
          <w:ilvl w:val="0"/>
          <w:numId w:val="2"/>
        </w:numPr>
        <w:spacing w:after="40" w:before="40"/>
      </w:pPr>
      <w:r>
        <w:rPr>
          <w:rFonts w:ascii="Calibri" w:cs="Calibri" w:eastAsia="Calibri" w:hAnsi="Calibri"/>
          <w:color w:val="1A1A1A"/>
          <w:sz w:val="22"/>
          <w:szCs w:val="22"/>
        </w:rPr>
        <w:t xml:space="preserve">Templates d'avenants et bibliothèque de modèles de documents</w:t>
      </w:r>
    </w:p>
    <w:p>
      <w:pPr>
        <w:pStyle w:val="ListParagraph"/>
        <w:numPr>
          <w:ilvl w:val="0"/>
          <w:numId w:val="2"/>
        </w:numPr>
        <w:spacing w:after="40" w:before="40"/>
      </w:pPr>
      <w:r>
        <w:rPr>
          <w:rFonts w:ascii="Calibri" w:cs="Calibri" w:eastAsia="Calibri" w:hAnsi="Calibri"/>
          <w:color w:val="1A1A1A"/>
          <w:sz w:val="22"/>
          <w:szCs w:val="22"/>
        </w:rPr>
        <w:t xml:space="preserve">FAQ et base de connaissance métier (paie, CCN, conformité, saisies, avances)</w:t>
      </w:r>
    </w:p>
    <w:p>
      <w:pPr>
        <w:spacing w:after="80" w:before="180"/>
      </w:pPr>
      <w:r>
        <w:rPr>
          <w:rFonts w:ascii="Calibri" w:cs="Calibri" w:eastAsia="Calibri" w:hAnsi="Calibri"/>
          <w:b/>
          <w:bCs/>
          <w:color w:val="1F3A5F"/>
          <w:sz w:val="23"/>
          <w:szCs w:val="23"/>
        </w:rPr>
        <w:t xml:space="preserve">Actifs numériques</w:t>
      </w:r>
    </w:p>
    <w:p>
      <w:pPr>
        <w:pStyle w:val="ListParagraph"/>
        <w:numPr>
          <w:ilvl w:val="0"/>
          <w:numId w:val="2"/>
        </w:numPr>
        <w:spacing w:after="40" w:before="40"/>
      </w:pPr>
      <w:r>
        <w:rPr>
          <w:rFonts w:ascii="Calibri" w:cs="Calibri" w:eastAsia="Calibri" w:hAnsi="Calibri"/>
          <w:color w:val="1A1A1A"/>
          <w:sz w:val="22"/>
          <w:szCs w:val="22"/>
        </w:rPr>
        <w:t xml:space="preserve">Noms de domaine EYWAI et sous-domaines associés</w:t>
      </w:r>
    </w:p>
    <w:p>
      <w:pPr>
        <w:pStyle w:val="ListParagraph"/>
        <w:numPr>
          <w:ilvl w:val="0"/>
          <w:numId w:val="2"/>
        </w:numPr>
        <w:spacing w:after="40" w:before="40"/>
      </w:pPr>
      <w:r>
        <w:rPr>
          <w:rFonts w:ascii="Calibri" w:cs="Calibri" w:eastAsia="Calibri" w:hAnsi="Calibri"/>
          <w:color w:val="1A1A1A"/>
          <w:sz w:val="22"/>
          <w:szCs w:val="22"/>
        </w:rPr>
        <w:t xml:space="preserve">Comptes techniques liés à l'exploitation (hébergement, CI/CD, monitoring)</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4.2 Calendrier de cession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tblHeader/>
        </w:trPr>
        <w:tc>
          <w:tcPr>
            <w:tcW w:type="dxa" w:w="25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Jalon</w:t>
            </w:r>
          </w:p>
        </w:tc>
        <w:tc>
          <w:tcPr>
            <w:tcW w:type="dxa" w:w="44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Livrables</w:t>
            </w:r>
          </w:p>
        </w:tc>
        <w:tc>
          <w:tcPr>
            <w:tcW w:type="dxa" w:w="24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Délai</w:t>
            </w:r>
          </w:p>
        </w:tc>
      </w:tr>
      <w:tr>
        <w:tc>
          <w:tcPr>
            <w:tcW w:type="dxa" w:w="25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J0 — Signature</w:t>
            </w:r>
          </w:p>
        </w:tc>
        <w:tc>
          <w:tcPr>
            <w:tcW w:type="dxa" w:w="4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Signature de l'acte de cession, engagement des versements</w:t>
            </w:r>
          </w:p>
        </w:tc>
        <w:tc>
          <w:tcPr>
            <w:tcW w:type="dxa" w:w="24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Jour 0</w:t>
            </w:r>
          </w:p>
        </w:tc>
      </w:tr>
      <w:tr>
        <w:tc>
          <w:tcPr>
            <w:tcW w:type="dxa" w:w="25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J+15 — Transfert technique</w:t>
            </w:r>
          </w:p>
        </w:tc>
        <w:tc>
          <w:tcPr>
            <w:tcW w:type="dxa" w:w="44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Remise du code source, accès aux repositories, remise de la documentation technique et produit, transfert des noms de domaine</w:t>
            </w:r>
          </w:p>
        </w:tc>
        <w:tc>
          <w:tcPr>
            <w:tcW w:type="dxa" w:w="24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15 jours calendaires</w:t>
            </w:r>
          </w:p>
        </w:tc>
      </w:tr>
      <w:tr>
        <w:tc>
          <w:tcPr>
            <w:tcW w:type="dxa" w:w="25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J+30 — PV de cession</w:t>
            </w:r>
          </w:p>
        </w:tc>
        <w:tc>
          <w:tcPr>
            <w:tcW w:type="dxa" w:w="4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Signature du procès-verbal de cession attestant de la remise complète des actifs</w:t>
            </w:r>
          </w:p>
        </w:tc>
        <w:tc>
          <w:tcPr>
            <w:tcW w:type="dxa" w:w="24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30 jours calendaires</w:t>
            </w:r>
          </w:p>
        </w:tc>
      </w:tr>
    </w:tbl>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4.3 Garanties du cédant</w:t>
      </w:r>
    </w:p>
    <w:p>
      <w:pPr>
        <w:pStyle w:val="ListParagraph"/>
        <w:numPr>
          <w:ilvl w:val="0"/>
          <w:numId w:val="2"/>
        </w:numPr>
        <w:spacing w:after="40" w:before="40"/>
      </w:pPr>
      <w:r>
        <w:rPr>
          <w:rFonts w:ascii="Calibri" w:cs="Calibri" w:eastAsia="Calibri" w:hAnsi="Calibri"/>
          <w:color w:val="1A1A1A"/>
          <w:sz w:val="22"/>
          <w:szCs w:val="22"/>
        </w:rPr>
        <w:t xml:space="preserve">Garantie de titularité : le cédant garantit être l'unique titulaire des droits cédés</w:t>
      </w:r>
    </w:p>
    <w:p>
      <w:pPr>
        <w:pStyle w:val="ListParagraph"/>
        <w:numPr>
          <w:ilvl w:val="0"/>
          <w:numId w:val="2"/>
        </w:numPr>
        <w:spacing w:after="40" w:before="40"/>
      </w:pPr>
      <w:r>
        <w:rPr>
          <w:rFonts w:ascii="Calibri" w:cs="Calibri" w:eastAsia="Calibri" w:hAnsi="Calibri"/>
          <w:color w:val="1A1A1A"/>
          <w:sz w:val="22"/>
          <w:szCs w:val="22"/>
        </w:rPr>
        <w:t xml:space="preserve">Garantie d'éviction : le cédant garantit l'acquéreur contre toute revendication de tiers</w:t>
      </w:r>
    </w:p>
    <w:p>
      <w:pPr>
        <w:pStyle w:val="ListParagraph"/>
        <w:numPr>
          <w:ilvl w:val="0"/>
          <w:numId w:val="2"/>
        </w:numPr>
        <w:spacing w:after="40" w:before="40"/>
      </w:pPr>
      <w:r>
        <w:rPr>
          <w:rFonts w:ascii="Calibri" w:cs="Calibri" w:eastAsia="Calibri" w:hAnsi="Calibri"/>
          <w:color w:val="1A1A1A"/>
          <w:sz w:val="22"/>
          <w:szCs w:val="22"/>
        </w:rPr>
        <w:t xml:space="preserve">Garantie de conformité : le code source est livré conforme aux spécifications documentées</w:t>
      </w:r>
    </w:p>
    <w:p>
      <w:pPr>
        <w:pStyle w:val="ListParagraph"/>
        <w:numPr>
          <w:ilvl w:val="0"/>
          <w:numId w:val="2"/>
        </w:numPr>
        <w:spacing w:after="40" w:before="40"/>
      </w:pPr>
      <w:r>
        <w:rPr>
          <w:rFonts w:ascii="Calibri" w:cs="Calibri" w:eastAsia="Calibri" w:hAnsi="Calibri"/>
          <w:color w:val="1A1A1A"/>
          <w:sz w:val="22"/>
          <w:szCs w:val="22"/>
        </w:rPr>
        <w:t xml:space="preserve">Garantie de fonctionnement : la solution est opérationnelle et déployable à la date de cession</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4.4 Accompagnement post-cession</w:t>
      </w:r>
    </w:p>
    <w:p>
      <w:pPr>
        <w:spacing w:after="60" w:before="60"/>
        <w:jc w:val="left"/>
      </w:pPr>
      <w:r>
        <w:rPr>
          <w:rFonts w:ascii="Calibri" w:cs="Calibri" w:eastAsia="Calibri" w:hAnsi="Calibri"/>
          <w:b w:val="false"/>
          <w:bCs w:val="false"/>
          <w:i w:val="false"/>
          <w:iCs w:val="false"/>
          <w:color w:val="1A1A1A"/>
          <w:sz w:val="22"/>
          <w:szCs w:val="22"/>
        </w:rPr>
        <w:t xml:space="preserve">Au-delà des prestations d'implémentation et de formation facturées séparément (voir §5 et §6), le cédant assure pendant une période de 90 jours calendaires à compter de la signature du PV de cession :</w:t>
      </w:r>
    </w:p>
    <w:p>
      <w:pPr>
        <w:pStyle w:val="ListParagraph"/>
        <w:numPr>
          <w:ilvl w:val="0"/>
          <w:numId w:val="2"/>
        </w:numPr>
        <w:spacing w:after="40" w:before="40"/>
      </w:pPr>
      <w:r>
        <w:rPr>
          <w:rFonts w:ascii="Calibri" w:cs="Calibri" w:eastAsia="Calibri" w:hAnsi="Calibri"/>
          <w:color w:val="1A1A1A"/>
          <w:sz w:val="22"/>
          <w:szCs w:val="22"/>
        </w:rPr>
        <w:t xml:space="preserve">La réponse aux questions techniques d'architecture (dans la limite de 8 heures cumulées)</w:t>
      </w:r>
    </w:p>
    <w:p>
      <w:pPr>
        <w:pStyle w:val="ListParagraph"/>
        <w:numPr>
          <w:ilvl w:val="0"/>
          <w:numId w:val="2"/>
        </w:numPr>
        <w:spacing w:after="40" w:before="40"/>
      </w:pPr>
      <w:r>
        <w:rPr>
          <w:rFonts w:ascii="Calibri" w:cs="Calibri" w:eastAsia="Calibri" w:hAnsi="Calibri"/>
          <w:color w:val="1A1A1A"/>
          <w:sz w:val="22"/>
          <w:szCs w:val="22"/>
        </w:rPr>
        <w:t xml:space="preserve">L'appui à la reprise en main du code source par l'équipe technique de l'acquéreur</w:t>
      </w:r>
    </w:p>
    <w:p>
      <w:pPr>
        <w:pStyle w:val="ListParagraph"/>
        <w:numPr>
          <w:ilvl w:val="0"/>
          <w:numId w:val="2"/>
        </w:numPr>
        <w:spacing w:after="40" w:before="40"/>
      </w:pPr>
      <w:r>
        <w:rPr>
          <w:rFonts w:ascii="Calibri" w:cs="Calibri" w:eastAsia="Calibri" w:hAnsi="Calibri"/>
          <w:color w:val="1A1A1A"/>
          <w:sz w:val="22"/>
          <w:szCs w:val="22"/>
        </w:rPr>
        <w:t xml:space="preserve">Le transfert de connaissance sur les choix d'architecture et de design produit</w:t>
      </w:r>
    </w:p>
    <w:p>
      <w:pPr>
        <w:spacing w:after="60" w:before="60"/>
      </w:pPr>
      <w:r>
        <w:t xml:space="preserve"/>
      </w:r>
    </w:p>
    <w:p>
      <w:pPr>
        <w:spacing w:after="60" w:before="60"/>
        <w:jc w:val="left"/>
      </w:pPr>
      <w:r>
        <w:rPr>
          <w:rFonts w:ascii="Calibri" w:cs="Calibri" w:eastAsia="Calibri" w:hAnsi="Calibri"/>
          <w:b w:val="false"/>
          <w:bCs w:val="false"/>
          <w:i/>
          <w:iCs/>
          <w:color w:val="1A1A1A"/>
          <w:sz w:val="22"/>
          <w:szCs w:val="22"/>
        </w:rPr>
        <w:t xml:space="preserve">Au-delà de cette période de 90 jours, tout accompagnement complémentaire fera l'objet d'un devis séparé à la journée.</w:t>
      </w:r>
    </w:p>
    <w:p>
      <w:r>
        <w:br w:type="page"/>
      </w:r>
    </w:p>
    <w:p>
      <w:pPr>
        <w:pStyle w:val="Heading1"/>
        <w:spacing w:after="160" w:before="360"/>
      </w:pPr>
      <w:r>
        <w:rPr>
          <w:rFonts w:ascii="Calibri" w:cs="Calibri" w:eastAsia="Calibri" w:hAnsi="Calibri"/>
          <w:b/>
          <w:bCs/>
          <w:color w:val="1F3A5F"/>
          <w:sz w:val="32"/>
          <w:szCs w:val="32"/>
        </w:rPr>
        <w:t xml:space="preserve">5. Prestation d'implémentation</w:t>
      </w:r>
    </w:p>
    <w:p>
      <w:pPr>
        <w:spacing w:after="60" w:before="60"/>
        <w:jc w:val="left"/>
      </w:pPr>
      <w:r>
        <w:rPr>
          <w:rFonts w:ascii="Calibri" w:cs="Calibri" w:eastAsia="Calibri" w:hAnsi="Calibri"/>
          <w:b w:val="false"/>
          <w:bCs w:val="false"/>
          <w:i w:val="false"/>
          <w:iCs w:val="false"/>
          <w:color w:val="1A1A1A"/>
          <w:sz w:val="22"/>
          <w:szCs w:val="22"/>
        </w:rPr>
        <w:t xml:space="preserve">La prestation d'implémentation au forfait de 5 000 € HT consiste à rendre la solution EYWAI opérationnelle sur le périmètre de l'acquéreur, dans un scope strictement délimité.</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5.1 Scope inclus au forfait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Poste</w:t>
            </w:r>
          </w:p>
        </w:tc>
        <w:tc>
          <w:tcPr>
            <w:tcW w:type="dxa" w:w="53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Contenu inclus</w:t>
            </w:r>
          </w:p>
        </w:tc>
      </w:tr>
      <w:tr>
        <w:tc>
          <w:tcPr>
            <w:tcW w:type="dxa" w:w="4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Paramétrage CCN</w:t>
            </w:r>
          </w:p>
        </w:tc>
        <w:tc>
          <w:tcPr>
            <w:tcW w:type="dxa" w:w="5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1 (une seule) convention collective paramétrée</w:t>
            </w:r>
          </w:p>
        </w:tc>
      </w:tr>
      <w:tr>
        <w:tc>
          <w:tcPr>
            <w:tcW w:type="dxa" w:w="4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Reprise historique paie</w:t>
            </w:r>
          </w:p>
        </w:tc>
        <w:tc>
          <w:tcPr>
            <w:tcW w:type="dxa" w:w="5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12 mois d'historique maximum, dans les formats d'export standard (XML DSN, CSV, Excel)</w:t>
            </w:r>
          </w:p>
        </w:tc>
      </w:tr>
      <w:tr>
        <w:tc>
          <w:tcPr>
            <w:tcW w:type="dxa" w:w="4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Intégrations tierces</w:t>
            </w:r>
          </w:p>
        </w:tc>
        <w:tc>
          <w:tcPr>
            <w:tcW w:type="dxa" w:w="5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2 (deux) intégrations incluses, à choisir parmi : comptabilité, banque (virements SEPA), SIRH, gestion du temps, signature électronique</w:t>
            </w:r>
          </w:p>
        </w:tc>
      </w:tr>
      <w:tr>
        <w:tc>
          <w:tcPr>
            <w:tcW w:type="dxa" w:w="4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Création des comptes</w:t>
            </w:r>
          </w:p>
        </w:tc>
        <w:tc>
          <w:tcPr>
            <w:tcW w:type="dxa" w:w="5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Comptes administrateurs et comptes utilisateurs RH (jusqu'à 10 utilisateurs)</w:t>
            </w:r>
          </w:p>
        </w:tc>
      </w:tr>
      <w:tr>
        <w:tc>
          <w:tcPr>
            <w:tcW w:type="dxa" w:w="4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Tests de recette</w:t>
            </w:r>
          </w:p>
        </w:tc>
        <w:tc>
          <w:tcPr>
            <w:tcW w:type="dxa" w:w="5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Campagne de recette sur un mois de paie type (1 cycle complet), correction des anomalies bloquantes</w:t>
            </w:r>
          </w:p>
        </w:tc>
      </w:tr>
      <w:tr>
        <w:tc>
          <w:tcPr>
            <w:tcW w:type="dxa" w:w="4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Bascule en production</w:t>
            </w:r>
          </w:p>
        </w:tc>
        <w:tc>
          <w:tcPr>
            <w:tcW w:type="dxa" w:w="5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Accompagnement à la mise en production sur 1 cycle de paie, validation conjointe</w:t>
            </w:r>
          </w:p>
        </w:tc>
      </w:tr>
    </w:tbl>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5.2 Points hors scope (en option, sur devis)</w:t>
      </w:r>
    </w:p>
    <w:p>
      <w:pPr>
        <w:pBdr>
          <w:left w:val="single" w:color="2E75B6" w:sz="24" w:space="8"/>
        </w:pBdr>
        <w:shd w:fill="FFF4E0" w:val="clear"/>
        <w:spacing w:after="80" w:before="80"/>
        <w:jc w:val="left"/>
      </w:pPr>
      <w:r>
        <w:rPr>
          <w:rFonts w:ascii="Calibri" w:cs="Calibri" w:eastAsia="Calibri" w:hAnsi="Calibri"/>
          <w:i/>
          <w:iCs/>
          <w:color w:val="1A1A1A"/>
          <w:sz w:val="22"/>
          <w:szCs w:val="22"/>
        </w:rPr>
        <w:t xml:space="preserve">Les éléments suivants ne sont pas inclus dans le forfait d'implémentation et feront l'objet d'une tarification complémentaire à la journée (TJM 1 000 € HT).</w:t>
      </w:r>
    </w:p>
    <w:p>
      <w:pPr>
        <w:spacing w:after="60" w:before="60"/>
      </w:pPr>
      <w:r>
        <w:t xml:space="preserve"/>
      </w:r>
    </w:p>
    <w:p>
      <w:pPr>
        <w:pStyle w:val="ListParagraph"/>
        <w:numPr>
          <w:ilvl w:val="0"/>
          <w:numId w:val="2"/>
        </w:numPr>
        <w:spacing w:after="40" w:before="40"/>
      </w:pPr>
      <w:r>
        <w:rPr>
          <w:rFonts w:ascii="Calibri" w:cs="Calibri" w:eastAsia="Calibri" w:hAnsi="Calibri"/>
          <w:color w:val="1A1A1A"/>
          <w:sz w:val="22"/>
          <w:szCs w:val="22"/>
        </w:rPr>
        <w:t xml:space="preserve">Paramétrage de conventions collectives supplémentaires au-delà de la première (forfait : 1 500 € HT par CCN additionnelle)</w:t>
      </w:r>
    </w:p>
    <w:p>
      <w:pPr>
        <w:pStyle w:val="ListParagraph"/>
        <w:numPr>
          <w:ilvl w:val="0"/>
          <w:numId w:val="2"/>
        </w:numPr>
        <w:spacing w:after="40" w:before="40"/>
      </w:pPr>
      <w:r>
        <w:rPr>
          <w:rFonts w:ascii="Calibri" w:cs="Calibri" w:eastAsia="Calibri" w:hAnsi="Calibri"/>
          <w:color w:val="1A1A1A"/>
          <w:sz w:val="22"/>
          <w:szCs w:val="22"/>
        </w:rPr>
        <w:t xml:space="preserve">Reprise d'historique paie au-delà de 12 mois ou dans des formats non standard</w:t>
      </w:r>
    </w:p>
    <w:p>
      <w:pPr>
        <w:pStyle w:val="ListParagraph"/>
        <w:numPr>
          <w:ilvl w:val="0"/>
          <w:numId w:val="2"/>
        </w:numPr>
        <w:spacing w:after="40" w:before="40"/>
      </w:pPr>
      <w:r>
        <w:rPr>
          <w:rFonts w:ascii="Calibri" w:cs="Calibri" w:eastAsia="Calibri" w:hAnsi="Calibri"/>
          <w:color w:val="1A1A1A"/>
          <w:sz w:val="22"/>
          <w:szCs w:val="22"/>
        </w:rPr>
        <w:t xml:space="preserve">Intégrations tierces au-delà des 2 incluses (forfait : 1 500 € HT par intégration additionnelle standard, sur devis pour les intégrations spécifiques)</w:t>
      </w:r>
    </w:p>
    <w:p>
      <w:pPr>
        <w:pStyle w:val="ListParagraph"/>
        <w:numPr>
          <w:ilvl w:val="0"/>
          <w:numId w:val="2"/>
        </w:numPr>
        <w:spacing w:after="40" w:before="40"/>
      </w:pPr>
      <w:r>
        <w:rPr>
          <w:rFonts w:ascii="Calibri" w:cs="Calibri" w:eastAsia="Calibri" w:hAnsi="Calibri"/>
          <w:color w:val="1A1A1A"/>
          <w:sz w:val="22"/>
          <w:szCs w:val="22"/>
        </w:rPr>
        <w:t xml:space="preserve">Développements spécifiques ou modifications du produit demandées par l'acquéreur</w:t>
      </w:r>
    </w:p>
    <w:p>
      <w:pPr>
        <w:pStyle w:val="ListParagraph"/>
        <w:numPr>
          <w:ilvl w:val="0"/>
          <w:numId w:val="2"/>
        </w:numPr>
        <w:spacing w:after="40" w:before="40"/>
      </w:pPr>
      <w:r>
        <w:rPr>
          <w:rFonts w:ascii="Calibri" w:cs="Calibri" w:eastAsia="Calibri" w:hAnsi="Calibri"/>
          <w:color w:val="1A1A1A"/>
          <w:sz w:val="22"/>
          <w:szCs w:val="22"/>
        </w:rPr>
        <w:t xml:space="preserve">Comptes utilisateurs au-delà de 10 (forfait : 250 € HT par tranche de 10 comptes)</w:t>
      </w:r>
    </w:p>
    <w:p>
      <w:pPr>
        <w:pStyle w:val="ListParagraph"/>
        <w:numPr>
          <w:ilvl w:val="0"/>
          <w:numId w:val="2"/>
        </w:numPr>
        <w:spacing w:after="40" w:before="40"/>
      </w:pPr>
      <w:r>
        <w:rPr>
          <w:rFonts w:ascii="Calibri" w:cs="Calibri" w:eastAsia="Calibri" w:hAnsi="Calibri"/>
          <w:color w:val="1A1A1A"/>
          <w:sz w:val="22"/>
          <w:szCs w:val="22"/>
        </w:rPr>
        <w:t xml:space="preserve">Cycles de recette supplémentaires au-delà du premier cycle inclus</w:t>
      </w:r>
    </w:p>
    <w:p>
      <w:pPr>
        <w:pStyle w:val="ListParagraph"/>
        <w:numPr>
          <w:ilvl w:val="0"/>
          <w:numId w:val="2"/>
        </w:numPr>
        <w:spacing w:after="40" w:before="40"/>
      </w:pPr>
      <w:r>
        <w:rPr>
          <w:rFonts w:ascii="Calibri" w:cs="Calibri" w:eastAsia="Calibri" w:hAnsi="Calibri"/>
          <w:color w:val="1A1A1A"/>
          <w:sz w:val="22"/>
          <w:szCs w:val="22"/>
        </w:rPr>
        <w:t xml:space="preserve">Activation et paramétrage avancé des packs spécifiques (badgeuse, ATS, CSE)</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5.3 Calendrier d'implémentation</w:t>
      </w:r>
    </w:p>
    <w:p>
      <w:pPr>
        <w:spacing w:after="60" w:before="60"/>
        <w:jc w:val="left"/>
      </w:pPr>
      <w:r>
        <w:rPr>
          <w:rFonts w:ascii="Calibri" w:cs="Calibri" w:eastAsia="Calibri" w:hAnsi="Calibri"/>
          <w:b w:val="false"/>
          <w:bCs w:val="false"/>
          <w:i w:val="false"/>
          <w:iCs w:val="false"/>
          <w:color w:val="1A1A1A"/>
          <w:sz w:val="22"/>
          <w:szCs w:val="22"/>
        </w:rPr>
        <w:t xml:space="preserve">La phase d'implémentation s'étale sur 6 à 8 semaines calendaires à compter de la signature, selon la disponibilité des données et des interlocuteurs de l'acquéreur.</w:t>
      </w:r>
    </w:p>
    <w:p>
      <w:pPr>
        <w:pStyle w:val="ListParagraph"/>
        <w:numPr>
          <w:ilvl w:val="0"/>
          <w:numId w:val="2"/>
        </w:numPr>
        <w:spacing w:after="40" w:before="40"/>
      </w:pPr>
      <w:r>
        <w:rPr>
          <w:rFonts w:ascii="Calibri" w:cs="Calibri" w:eastAsia="Calibri" w:hAnsi="Calibri"/>
          <w:color w:val="1A1A1A"/>
          <w:sz w:val="22"/>
          <w:szCs w:val="22"/>
        </w:rPr>
        <w:t xml:space="preserve">Semaines 1-2 : recueil des données et paramétrage CCN</w:t>
      </w:r>
    </w:p>
    <w:p>
      <w:pPr>
        <w:pStyle w:val="ListParagraph"/>
        <w:numPr>
          <w:ilvl w:val="0"/>
          <w:numId w:val="2"/>
        </w:numPr>
        <w:spacing w:after="40" w:before="40"/>
      </w:pPr>
      <w:r>
        <w:rPr>
          <w:rFonts w:ascii="Calibri" w:cs="Calibri" w:eastAsia="Calibri" w:hAnsi="Calibri"/>
          <w:color w:val="1A1A1A"/>
          <w:sz w:val="22"/>
          <w:szCs w:val="22"/>
        </w:rPr>
        <w:t xml:space="preserve">Semaines 3-4 : reprise d'historique et mise en place des intégrations</w:t>
      </w:r>
    </w:p>
    <w:p>
      <w:pPr>
        <w:pStyle w:val="ListParagraph"/>
        <w:numPr>
          <w:ilvl w:val="0"/>
          <w:numId w:val="2"/>
        </w:numPr>
        <w:spacing w:after="40" w:before="40"/>
      </w:pPr>
      <w:r>
        <w:rPr>
          <w:rFonts w:ascii="Calibri" w:cs="Calibri" w:eastAsia="Calibri" w:hAnsi="Calibri"/>
          <w:color w:val="1A1A1A"/>
          <w:sz w:val="22"/>
          <w:szCs w:val="22"/>
        </w:rPr>
        <w:t xml:space="preserve">Semaines 5-6 : tests de recette et corrections</w:t>
      </w:r>
    </w:p>
    <w:p>
      <w:pPr>
        <w:pStyle w:val="ListParagraph"/>
        <w:numPr>
          <w:ilvl w:val="0"/>
          <w:numId w:val="2"/>
        </w:numPr>
        <w:spacing w:after="40" w:before="40"/>
      </w:pPr>
      <w:r>
        <w:rPr>
          <w:rFonts w:ascii="Calibri" w:cs="Calibri" w:eastAsia="Calibri" w:hAnsi="Calibri"/>
          <w:color w:val="1A1A1A"/>
          <w:sz w:val="22"/>
          <w:szCs w:val="22"/>
        </w:rPr>
        <w:t xml:space="preserve">Semaines 7-8 : bascule en production et accompagnement du premier cycle de paie</w:t>
      </w:r>
    </w:p>
    <w:p>
      <w:r>
        <w:br w:type="page"/>
      </w:r>
    </w:p>
    <w:p>
      <w:pPr>
        <w:pStyle w:val="Heading1"/>
        <w:spacing w:after="160" w:before="360"/>
      </w:pPr>
      <w:r>
        <w:rPr>
          <w:rFonts w:ascii="Calibri" w:cs="Calibri" w:eastAsia="Calibri" w:hAnsi="Calibri"/>
          <w:b/>
          <w:bCs/>
          <w:color w:val="1F3A5F"/>
          <w:sz w:val="32"/>
          <w:szCs w:val="32"/>
        </w:rPr>
        <w:t xml:space="preserve">6. Prestation de formation</w:t>
      </w:r>
    </w:p>
    <w:p>
      <w:pPr>
        <w:spacing w:after="60" w:before="60"/>
        <w:jc w:val="left"/>
      </w:pPr>
      <w:r>
        <w:rPr>
          <w:rFonts w:ascii="Calibri" w:cs="Calibri" w:eastAsia="Calibri" w:hAnsi="Calibri"/>
          <w:b w:val="false"/>
          <w:bCs w:val="false"/>
          <w:i w:val="false"/>
          <w:iCs w:val="false"/>
          <w:color w:val="1A1A1A"/>
          <w:sz w:val="22"/>
          <w:szCs w:val="22"/>
        </w:rPr>
        <w:t xml:space="preserve">La prestation de formation au forfait de 5 000 € HT vise à rendre les équipes de l'acquéreur autonomes dans l'utilisation quotidienne et administrative de la solution EYWAI.</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6.1 Format et contenu de la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Paramètre</w:t>
            </w:r>
          </w:p>
        </w:tc>
        <w:tc>
          <w:tcPr>
            <w:tcW w:type="dxa" w:w="63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Engagement</w:t>
            </w:r>
          </w:p>
        </w:tc>
      </w:tr>
      <w:tr>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Durée totale</w:t>
            </w:r>
          </w:p>
        </w:tc>
        <w:tc>
          <w:tcPr>
            <w:tcW w:type="dxa" w:w="6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3 journées de formation (soit 21 heures)</w:t>
            </w:r>
          </w:p>
        </w:tc>
      </w:tr>
      <w:tr>
        <w:tc>
          <w:tcPr>
            <w:tcW w:type="dxa" w:w="3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Format</w:t>
            </w:r>
          </w:p>
        </w:tc>
        <w:tc>
          <w:tcPr>
            <w:tcW w:type="dxa" w:w="6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Présentiel sur site de l'acquéreur ou distanciel (au choix de l'acquéreur)</w:t>
            </w:r>
          </w:p>
        </w:tc>
      </w:tr>
      <w:tr>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Nombre de participants</w:t>
            </w:r>
          </w:p>
        </w:tc>
        <w:tc>
          <w:tcPr>
            <w:tcW w:type="dxa" w:w="6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12 participants maximum par session (au-delà, devis spécifique)</w:t>
            </w:r>
          </w:p>
        </w:tc>
      </w:tr>
      <w:tr>
        <w:tc>
          <w:tcPr>
            <w:tcW w:type="dxa" w:w="3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Public cible</w:t>
            </w:r>
          </w:p>
        </w:tc>
        <w:tc>
          <w:tcPr>
            <w:tcW w:type="dxa" w:w="6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Équipes RH, équipes administratives et financières, référents internes (train-the-trainer)</w:t>
            </w:r>
          </w:p>
        </w:tc>
      </w:tr>
      <w:tr>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Support pédagogique</w:t>
            </w:r>
          </w:p>
        </w:tc>
        <w:tc>
          <w:tcPr>
            <w:tcW w:type="dxa" w:w="6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Support écrit remis à chaque participant, guide utilisateur numérique, accès à la FAQ intégrée</w:t>
            </w:r>
          </w:p>
        </w:tc>
      </w:tr>
      <w:tr>
        <w:tc>
          <w:tcPr>
            <w:tcW w:type="dxa" w:w="3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Validation</w:t>
            </w:r>
          </w:p>
        </w:tc>
        <w:tc>
          <w:tcPr>
            <w:tcW w:type="dxa" w:w="6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Attestation de formation individuelle, test de connaissances en fin de parcours</w:t>
            </w:r>
          </w:p>
        </w:tc>
      </w:tr>
    </w:tbl>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6.2 Programme détaillé</w:t>
      </w:r>
    </w:p>
    <w:p>
      <w:pPr>
        <w:spacing w:after="80" w:before="180"/>
      </w:pPr>
      <w:r>
        <w:rPr>
          <w:rFonts w:ascii="Calibri" w:cs="Calibri" w:eastAsia="Calibri" w:hAnsi="Calibri"/>
          <w:b/>
          <w:bCs/>
          <w:color w:val="1F3A5F"/>
          <w:sz w:val="23"/>
          <w:szCs w:val="23"/>
        </w:rPr>
        <w:t xml:space="preserve">Journée 1 — Socle paie et traitement mensuel</w:t>
      </w:r>
    </w:p>
    <w:p>
      <w:pPr>
        <w:pStyle w:val="ListParagraph"/>
        <w:numPr>
          <w:ilvl w:val="0"/>
          <w:numId w:val="2"/>
        </w:numPr>
        <w:spacing w:after="40" w:before="40"/>
      </w:pPr>
      <w:r>
        <w:rPr>
          <w:rFonts w:ascii="Calibri" w:cs="Calibri" w:eastAsia="Calibri" w:hAnsi="Calibri"/>
          <w:color w:val="1A1A1A"/>
          <w:sz w:val="22"/>
          <w:szCs w:val="22"/>
        </w:rPr>
        <w:t xml:space="preserve">Navigation dans l'interface, gestion des comptes utilisateurs et droits</w:t>
      </w:r>
    </w:p>
    <w:p>
      <w:pPr>
        <w:pStyle w:val="ListParagraph"/>
        <w:numPr>
          <w:ilvl w:val="0"/>
          <w:numId w:val="2"/>
        </w:numPr>
        <w:spacing w:after="40" w:before="40"/>
      </w:pPr>
      <w:r>
        <w:rPr>
          <w:rFonts w:ascii="Calibri" w:cs="Calibri" w:eastAsia="Calibri" w:hAnsi="Calibri"/>
          <w:color w:val="1A1A1A"/>
          <w:sz w:val="22"/>
          <w:szCs w:val="22"/>
        </w:rPr>
        <w:t xml:space="preserve">Gestion des fiches salariés : création, modification, cycle de vie</w:t>
      </w:r>
    </w:p>
    <w:p>
      <w:pPr>
        <w:pStyle w:val="ListParagraph"/>
        <w:numPr>
          <w:ilvl w:val="0"/>
          <w:numId w:val="2"/>
        </w:numPr>
        <w:spacing w:after="40" w:before="40"/>
      </w:pPr>
      <w:r>
        <w:rPr>
          <w:rFonts w:ascii="Calibri" w:cs="Calibri" w:eastAsia="Calibri" w:hAnsi="Calibri"/>
          <w:color w:val="1A1A1A"/>
          <w:sz w:val="22"/>
          <w:szCs w:val="22"/>
        </w:rPr>
        <w:t xml:space="preserve">Préparation et édition d'un cycle de paie complet</w:t>
      </w:r>
    </w:p>
    <w:p>
      <w:pPr>
        <w:pStyle w:val="ListParagraph"/>
        <w:numPr>
          <w:ilvl w:val="0"/>
          <w:numId w:val="2"/>
        </w:numPr>
        <w:spacing w:after="40" w:before="40"/>
      </w:pPr>
      <w:r>
        <w:rPr>
          <w:rFonts w:ascii="Calibri" w:cs="Calibri" w:eastAsia="Calibri" w:hAnsi="Calibri"/>
          <w:color w:val="1A1A1A"/>
          <w:sz w:val="22"/>
          <w:szCs w:val="22"/>
        </w:rPr>
        <w:t xml:space="preserve">Contrôles de cohérence et validation des bulletins</w:t>
      </w:r>
    </w:p>
    <w:p>
      <w:pPr>
        <w:pStyle w:val="ListParagraph"/>
        <w:numPr>
          <w:ilvl w:val="0"/>
          <w:numId w:val="2"/>
        </w:numPr>
        <w:spacing w:after="40" w:before="40"/>
      </w:pPr>
      <w:r>
        <w:rPr>
          <w:rFonts w:ascii="Calibri" w:cs="Calibri" w:eastAsia="Calibri" w:hAnsi="Calibri"/>
          <w:color w:val="1A1A1A"/>
          <w:sz w:val="22"/>
          <w:szCs w:val="22"/>
        </w:rPr>
        <w:t xml:space="preserve">Production et transmission de la DSN</w:t>
      </w:r>
    </w:p>
    <w:p>
      <w:pPr>
        <w:pStyle w:val="ListParagraph"/>
        <w:numPr>
          <w:ilvl w:val="0"/>
          <w:numId w:val="2"/>
        </w:numPr>
        <w:spacing w:after="40" w:before="40"/>
      </w:pPr>
      <w:r>
        <w:rPr>
          <w:rFonts w:ascii="Calibri" w:cs="Calibri" w:eastAsia="Calibri" w:hAnsi="Calibri"/>
          <w:color w:val="1A1A1A"/>
          <w:sz w:val="22"/>
          <w:szCs w:val="22"/>
        </w:rPr>
        <w:t xml:space="preserve">Virements bancaires et clôture mensuelle</w:t>
      </w:r>
    </w:p>
    <w:p>
      <w:pPr>
        <w:spacing w:after="80" w:before="180"/>
      </w:pPr>
      <w:r>
        <w:rPr>
          <w:rFonts w:ascii="Calibri" w:cs="Calibri" w:eastAsia="Calibri" w:hAnsi="Calibri"/>
          <w:b/>
          <w:bCs/>
          <w:color w:val="1F3A5F"/>
          <w:sz w:val="23"/>
          <w:szCs w:val="23"/>
        </w:rPr>
        <w:t xml:space="preserve">Journée 2 — Packs RH métier</w:t>
      </w:r>
    </w:p>
    <w:p>
      <w:pPr>
        <w:pStyle w:val="ListParagraph"/>
        <w:numPr>
          <w:ilvl w:val="0"/>
          <w:numId w:val="2"/>
        </w:numPr>
        <w:spacing w:after="40" w:before="40"/>
      </w:pPr>
      <w:r>
        <w:rPr>
          <w:rFonts w:ascii="Calibri" w:cs="Calibri" w:eastAsia="Calibri" w:hAnsi="Calibri"/>
          <w:color w:val="1A1A1A"/>
          <w:sz w:val="22"/>
          <w:szCs w:val="22"/>
        </w:rPr>
        <w:t xml:space="preserve">Pack Avenants &amp; Augmentations : simulations, génération et signature</w:t>
      </w:r>
    </w:p>
    <w:p>
      <w:pPr>
        <w:pStyle w:val="ListParagraph"/>
        <w:numPr>
          <w:ilvl w:val="0"/>
          <w:numId w:val="2"/>
        </w:numPr>
        <w:spacing w:after="40" w:before="40"/>
      </w:pPr>
      <w:r>
        <w:rPr>
          <w:rFonts w:ascii="Calibri" w:cs="Calibri" w:eastAsia="Calibri" w:hAnsi="Calibri"/>
          <w:color w:val="1A1A1A"/>
          <w:sz w:val="22"/>
          <w:szCs w:val="22"/>
        </w:rPr>
        <w:t xml:space="preserve">Pack Saisies &amp; Avances : création, suivi, remboursements</w:t>
      </w:r>
    </w:p>
    <w:p>
      <w:pPr>
        <w:pStyle w:val="ListParagraph"/>
        <w:numPr>
          <w:ilvl w:val="0"/>
          <w:numId w:val="2"/>
        </w:numPr>
        <w:spacing w:after="40" w:before="40"/>
      </w:pPr>
      <w:r>
        <w:rPr>
          <w:rFonts w:ascii="Calibri" w:cs="Calibri" w:eastAsia="Calibri" w:hAnsi="Calibri"/>
          <w:color w:val="1A1A1A"/>
          <w:sz w:val="22"/>
          <w:szCs w:val="22"/>
        </w:rPr>
        <w:t xml:space="preserve">Pack Social : CSE, mandats, heures de délégation, visites médicales</w:t>
      </w:r>
    </w:p>
    <w:p>
      <w:pPr>
        <w:pStyle w:val="ListParagraph"/>
        <w:numPr>
          <w:ilvl w:val="0"/>
          <w:numId w:val="2"/>
        </w:numPr>
        <w:spacing w:after="40" w:before="40"/>
      </w:pPr>
      <w:r>
        <w:rPr>
          <w:rFonts w:ascii="Calibri" w:cs="Calibri" w:eastAsia="Calibri" w:hAnsi="Calibri"/>
          <w:color w:val="1A1A1A"/>
          <w:sz w:val="22"/>
          <w:szCs w:val="22"/>
        </w:rPr>
        <w:t xml:space="preserve">Pack Gestion des Temps : planning, absences, validations</w:t>
      </w:r>
    </w:p>
    <w:p>
      <w:pPr>
        <w:pStyle w:val="ListParagraph"/>
        <w:numPr>
          <w:ilvl w:val="0"/>
          <w:numId w:val="2"/>
        </w:numPr>
        <w:spacing w:after="40" w:before="40"/>
      </w:pPr>
      <w:r>
        <w:rPr>
          <w:rFonts w:ascii="Calibri" w:cs="Calibri" w:eastAsia="Calibri" w:hAnsi="Calibri"/>
          <w:color w:val="1A1A1A"/>
          <w:sz w:val="22"/>
          <w:szCs w:val="22"/>
        </w:rPr>
        <w:t xml:space="preserve">Pack Badgeuse &amp; Pointage : configuration et exploitation</w:t>
      </w:r>
    </w:p>
    <w:p>
      <w:pPr>
        <w:spacing w:after="80" w:before="180"/>
      </w:pPr>
      <w:r>
        <w:rPr>
          <w:rFonts w:ascii="Calibri" w:cs="Calibri" w:eastAsia="Calibri" w:hAnsi="Calibri"/>
          <w:b/>
          <w:bCs/>
          <w:color w:val="1F3A5F"/>
          <w:sz w:val="23"/>
          <w:szCs w:val="23"/>
        </w:rPr>
        <w:t xml:space="preserve">Journée 3 — Packs avancés, IA et administration</w:t>
      </w:r>
    </w:p>
    <w:p>
      <w:pPr>
        <w:pStyle w:val="ListParagraph"/>
        <w:numPr>
          <w:ilvl w:val="0"/>
          <w:numId w:val="2"/>
        </w:numPr>
        <w:spacing w:after="40" w:before="40"/>
      </w:pPr>
      <w:r>
        <w:rPr>
          <w:rFonts w:ascii="Calibri" w:cs="Calibri" w:eastAsia="Calibri" w:hAnsi="Calibri"/>
          <w:color w:val="1A1A1A"/>
          <w:sz w:val="22"/>
          <w:szCs w:val="22"/>
        </w:rPr>
        <w:t xml:space="preserve">Pack Recrutement (ATS) : pipeline candidats et interfaçage paie</w:t>
      </w:r>
    </w:p>
    <w:p>
      <w:pPr>
        <w:pStyle w:val="ListParagraph"/>
        <w:numPr>
          <w:ilvl w:val="0"/>
          <w:numId w:val="2"/>
        </w:numPr>
        <w:spacing w:after="40" w:before="40"/>
      </w:pPr>
      <w:r>
        <w:rPr>
          <w:rFonts w:ascii="Calibri" w:cs="Calibri" w:eastAsia="Calibri" w:hAnsi="Calibri"/>
          <w:color w:val="1A1A1A"/>
          <w:sz w:val="22"/>
          <w:szCs w:val="22"/>
        </w:rPr>
        <w:t xml:space="preserve">Pack Talent : entretiens, formation, matrice de compétences</w:t>
      </w:r>
    </w:p>
    <w:p>
      <w:pPr>
        <w:pStyle w:val="ListParagraph"/>
        <w:numPr>
          <w:ilvl w:val="0"/>
          <w:numId w:val="2"/>
        </w:numPr>
        <w:spacing w:after="40" w:before="40"/>
      </w:pPr>
      <w:r>
        <w:rPr>
          <w:rFonts w:ascii="Calibri" w:cs="Calibri" w:eastAsia="Calibri" w:hAnsi="Calibri"/>
          <w:color w:val="1A1A1A"/>
          <w:sz w:val="22"/>
          <w:szCs w:val="22"/>
        </w:rPr>
        <w:t xml:space="preserve">Module IA : utilisation de l'assistant conversationnel, simulations, détection d'anomalies</w:t>
      </w:r>
    </w:p>
    <w:p>
      <w:pPr>
        <w:pStyle w:val="ListParagraph"/>
        <w:numPr>
          <w:ilvl w:val="0"/>
          <w:numId w:val="2"/>
        </w:numPr>
        <w:spacing w:after="40" w:before="40"/>
      </w:pPr>
      <w:r>
        <w:rPr>
          <w:rFonts w:ascii="Calibri" w:cs="Calibri" w:eastAsia="Calibri" w:hAnsi="Calibri"/>
          <w:color w:val="1A1A1A"/>
          <w:sz w:val="22"/>
          <w:szCs w:val="22"/>
        </w:rPr>
        <w:t xml:space="preserve">Pack Export &amp; Analytics : dashboards, exports programmés, API</w:t>
      </w:r>
    </w:p>
    <w:p>
      <w:pPr>
        <w:pStyle w:val="ListParagraph"/>
        <w:numPr>
          <w:ilvl w:val="0"/>
          <w:numId w:val="2"/>
        </w:numPr>
        <w:spacing w:after="40" w:before="40"/>
      </w:pPr>
      <w:r>
        <w:rPr>
          <w:rFonts w:ascii="Calibri" w:cs="Calibri" w:eastAsia="Calibri" w:hAnsi="Calibri"/>
          <w:color w:val="1A1A1A"/>
          <w:sz w:val="22"/>
          <w:szCs w:val="22"/>
        </w:rPr>
        <w:t xml:space="preserve">Administration générale : paramétrages, droits, audit et traçabilité</w:t>
      </w:r>
    </w:p>
    <w:p>
      <w:pPr>
        <w:pStyle w:val="ListParagraph"/>
        <w:numPr>
          <w:ilvl w:val="0"/>
          <w:numId w:val="2"/>
        </w:numPr>
        <w:spacing w:after="40" w:before="40"/>
      </w:pPr>
      <w:r>
        <w:rPr>
          <w:rFonts w:ascii="Calibri" w:cs="Calibri" w:eastAsia="Calibri" w:hAnsi="Calibri"/>
          <w:color w:val="1A1A1A"/>
          <w:sz w:val="22"/>
          <w:szCs w:val="22"/>
        </w:rPr>
        <w:t xml:space="preserve">Cas pratiques et situations complexes</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6.3 Points hors scope (en option, sur devis)</w:t>
      </w:r>
    </w:p>
    <w:p>
      <w:pPr>
        <w:pStyle w:val="ListParagraph"/>
        <w:numPr>
          <w:ilvl w:val="0"/>
          <w:numId w:val="2"/>
        </w:numPr>
        <w:spacing w:after="40" w:before="40"/>
      </w:pPr>
      <w:r>
        <w:rPr>
          <w:rFonts w:ascii="Calibri" w:cs="Calibri" w:eastAsia="Calibri" w:hAnsi="Calibri"/>
          <w:color w:val="1A1A1A"/>
          <w:sz w:val="22"/>
          <w:szCs w:val="22"/>
        </w:rPr>
        <w:t xml:space="preserve">Journées de formation complémentaires au-delà des 3 incluses (tarif : 1 500 € HT par journée additionnelle)</w:t>
      </w:r>
    </w:p>
    <w:p>
      <w:pPr>
        <w:pStyle w:val="ListParagraph"/>
        <w:numPr>
          <w:ilvl w:val="0"/>
          <w:numId w:val="2"/>
        </w:numPr>
        <w:spacing w:after="40" w:before="40"/>
      </w:pPr>
      <w:r>
        <w:rPr>
          <w:rFonts w:ascii="Calibri" w:cs="Calibri" w:eastAsia="Calibri" w:hAnsi="Calibri"/>
          <w:color w:val="1A1A1A"/>
          <w:sz w:val="22"/>
          <w:szCs w:val="22"/>
        </w:rPr>
        <w:t xml:space="preserve">Sessions de rattrapage individuelles pour participants absents</w:t>
      </w:r>
    </w:p>
    <w:p>
      <w:pPr>
        <w:pStyle w:val="ListParagraph"/>
        <w:numPr>
          <w:ilvl w:val="0"/>
          <w:numId w:val="2"/>
        </w:numPr>
        <w:spacing w:after="40" w:before="40"/>
      </w:pPr>
      <w:r>
        <w:rPr>
          <w:rFonts w:ascii="Calibri" w:cs="Calibri" w:eastAsia="Calibri" w:hAnsi="Calibri"/>
          <w:color w:val="1A1A1A"/>
          <w:sz w:val="22"/>
          <w:szCs w:val="22"/>
        </w:rPr>
        <w:t xml:space="preserve">Formations métier avancées (paramétrage CCN, automatisations personnalisées, développement sur l'API)</w:t>
      </w:r>
    </w:p>
    <w:p>
      <w:pPr>
        <w:pStyle w:val="ListParagraph"/>
        <w:numPr>
          <w:ilvl w:val="0"/>
          <w:numId w:val="2"/>
        </w:numPr>
        <w:spacing w:after="40" w:before="40"/>
      </w:pPr>
      <w:r>
        <w:rPr>
          <w:rFonts w:ascii="Calibri" w:cs="Calibri" w:eastAsia="Calibri" w:hAnsi="Calibri"/>
          <w:color w:val="1A1A1A"/>
          <w:sz w:val="22"/>
          <w:szCs w:val="22"/>
        </w:rPr>
        <w:t xml:space="preserve">Accompagnement sur site au-delà des journées de formation contractuelles</w:t>
      </w:r>
    </w:p>
    <w:p>
      <w:r>
        <w:br w:type="page"/>
      </w:r>
    </w:p>
    <w:p>
      <w:pPr>
        <w:pStyle w:val="Heading1"/>
        <w:spacing w:after="160" w:before="360"/>
      </w:pPr>
      <w:r>
        <w:rPr>
          <w:rFonts w:ascii="Calibri" w:cs="Calibri" w:eastAsia="Calibri" w:hAnsi="Calibri"/>
          <w:b/>
          <w:bCs/>
          <w:color w:val="1F3A5F"/>
          <w:sz w:val="32"/>
          <w:szCs w:val="32"/>
        </w:rPr>
        <w:t xml:space="preserve">7. Conditions commerciales et financières</w:t>
      </w:r>
    </w:p>
    <w:p>
      <w:pPr>
        <w:pStyle w:val="Heading2"/>
        <w:spacing w:after="120" w:before="240"/>
      </w:pPr>
      <w:r>
        <w:rPr>
          <w:rFonts w:ascii="Calibri" w:cs="Calibri" w:eastAsia="Calibri" w:hAnsi="Calibri"/>
          <w:b/>
          <w:bCs/>
          <w:color w:val="2E75B6"/>
          <w:sz w:val="26"/>
          <w:szCs w:val="26"/>
        </w:rPr>
        <w:t xml:space="preserve">7.1 Synthèse financière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FFFFFF"/>
                <w:sz w:val="22"/>
                <w:szCs w:val="22"/>
              </w:rPr>
              <w:t xml:space="preserve">Ligne</w:t>
            </w:r>
          </w:p>
        </w:tc>
        <w:tc>
          <w:tcPr>
            <w:tcW w:type="dxa" w:w="20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Montant HT</w:t>
            </w:r>
          </w:p>
        </w:tc>
        <w:tc>
          <w:tcPr>
            <w:tcW w:type="dxa" w:w="20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Nature</w:t>
            </w:r>
          </w:p>
        </w:tc>
      </w:tr>
      <w:tr>
        <w:tc>
          <w:tcPr>
            <w:tcW w:type="dxa" w:w="52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Cession EYWAI (produit + IP + documentation)</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130 000 €</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2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Implémentation (scope §5)</w:t>
            </w:r>
          </w:p>
        </w:tc>
        <w:tc>
          <w:tcPr>
            <w:tcW w:type="dxa" w:w="208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5 000 €</w:t>
            </w:r>
          </w:p>
        </w:tc>
        <w:tc>
          <w:tcPr>
            <w:tcW w:type="dxa" w:w="208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2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Formation équipes (scope §6)</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5 000 €</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20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Sous-total HT</w:t>
            </w:r>
          </w:p>
        </w:tc>
        <w:tc>
          <w:tcPr>
            <w:tcW w:type="dxa" w:w="208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140 000 €</w:t>
            </w:r>
          </w:p>
        </w:tc>
        <w:tc>
          <w:tcPr>
            <w:tcW w:type="dxa" w:w="208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
            </w:r>
          </w:p>
        </w:tc>
      </w:tr>
      <w:tr>
        <w:tc>
          <w:tcPr>
            <w:tcW w:type="dxa" w:w="52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TVA (20 %)</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28 000 €</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
            </w:r>
          </w:p>
        </w:tc>
      </w:tr>
      <w:tr>
        <w:tc>
          <w:tcPr>
            <w:tcW w:type="dxa" w:w="52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FFFFFF"/>
                <w:sz w:val="24"/>
                <w:szCs w:val="24"/>
              </w:rPr>
              <w:t xml:space="preserve">TOTAL TTC</w:t>
            </w:r>
          </w:p>
        </w:tc>
        <w:tc>
          <w:tcPr>
            <w:tcW w:type="dxa" w:w="20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6"/>
                <w:szCs w:val="26"/>
              </w:rPr>
              <w:t xml:space="preserve">168 000 €</w:t>
            </w:r>
          </w:p>
        </w:tc>
        <w:tc>
          <w:tcPr>
            <w:tcW w:type="dxa" w:w="20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
            </w:r>
          </w:p>
        </w:tc>
      </w:tr>
    </w:tbl>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7.2 Modalités de paiement</w:t>
      </w:r>
    </w:p>
    <w:p>
      <w:pPr>
        <w:spacing w:after="60" w:before="60"/>
        <w:jc w:val="left"/>
      </w:pPr>
      <w:r>
        <w:rPr>
          <w:rFonts w:ascii="Calibri" w:cs="Calibri" w:eastAsia="Calibri" w:hAnsi="Calibri"/>
          <w:b w:val="false"/>
          <w:bCs w:val="false"/>
          <w:i w:val="false"/>
          <w:iCs w:val="false"/>
          <w:color w:val="1A1A1A"/>
          <w:sz w:val="22"/>
          <w:szCs w:val="22"/>
        </w:rPr>
        <w:t xml:space="preserve">Le règlement est proposé selon l'échéancier suivant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Tranche</w:t>
            </w:r>
          </w:p>
        </w:tc>
        <w:tc>
          <w:tcPr>
            <w:tcW w:type="dxa" w:w="3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Déclencheur</w:t>
            </w:r>
          </w:p>
        </w:tc>
        <w:tc>
          <w:tcPr>
            <w:tcW w:type="dxa" w:w="43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Montant</w:t>
            </w:r>
          </w:p>
        </w:tc>
      </w:tr>
      <w:tr>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40 %</w:t>
            </w:r>
          </w:p>
        </w:tc>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Signature du contrat</w:t>
            </w:r>
          </w:p>
        </w:tc>
        <w:tc>
          <w:tcPr>
            <w:tcW w:type="dxa" w:w="4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56 000 € HT (67 200 € TTC)</w:t>
            </w:r>
          </w:p>
        </w:tc>
      </w:tr>
      <w:tr>
        <w:tc>
          <w:tcPr>
            <w:tcW w:type="dxa" w:w="2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40 %</w:t>
            </w:r>
          </w:p>
        </w:tc>
        <w:tc>
          <w:tcPr>
            <w:tcW w:type="dxa" w:w="3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Signature du PV de cession (J+30)</w:t>
            </w:r>
          </w:p>
        </w:tc>
        <w:tc>
          <w:tcPr>
            <w:tcW w:type="dxa" w:w="4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56 000 € HT (67 200 € TTC)</w:t>
            </w:r>
          </w:p>
        </w:tc>
      </w:tr>
      <w:tr>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20 %</w:t>
            </w:r>
          </w:p>
        </w:tc>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Bascule en production réussie</w:t>
            </w:r>
          </w:p>
        </w:tc>
        <w:tc>
          <w:tcPr>
            <w:tcW w:type="dxa" w:w="4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28 000 € HT (33 600 € TTC)</w:t>
            </w:r>
          </w:p>
        </w:tc>
      </w:tr>
    </w:tbl>
    <w:p>
      <w:pPr>
        <w:spacing w:after="60" w:before="60"/>
      </w:pPr>
      <w:r>
        <w:t xml:space="preserve"/>
      </w:r>
    </w:p>
    <w:p>
      <w:pPr>
        <w:spacing w:after="60" w:before="60"/>
        <w:jc w:val="left"/>
      </w:pPr>
      <w:r>
        <w:rPr>
          <w:rFonts w:ascii="Calibri" w:cs="Calibri" w:eastAsia="Calibri" w:hAnsi="Calibri"/>
          <w:b w:val="false"/>
          <w:bCs w:val="false"/>
          <w:i/>
          <w:iCs/>
          <w:color w:val="5C5C5C"/>
          <w:sz w:val="22"/>
          <w:szCs w:val="22"/>
        </w:rPr>
        <w:t xml:space="preserve">Délai de règlement : 30 jours à réception de facture. Retard de paiement : application des pénalités légales en vigueur.</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7.3 Validité de l'offre</w:t>
      </w:r>
    </w:p>
    <w:p>
      <w:pPr>
        <w:spacing w:after="60" w:before="60"/>
        <w:jc w:val="left"/>
      </w:pPr>
      <w:r>
        <w:rPr>
          <w:rFonts w:ascii="Calibri" w:cs="Calibri" w:eastAsia="Calibri" w:hAnsi="Calibri"/>
          <w:b w:val="false"/>
          <w:bCs w:val="false"/>
          <w:i w:val="false"/>
          <w:iCs w:val="false"/>
          <w:color w:val="1A1A1A"/>
          <w:sz w:val="22"/>
          <w:szCs w:val="22"/>
        </w:rPr>
        <w:t xml:space="preserve">La présente proposition est valable 60 jours à compter de sa date d'émission. Au-delà, les conditions tarifaires et opérationnelles pourront être réévaluées.</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7.4 Conditions générales</w:t>
      </w:r>
    </w:p>
    <w:p>
      <w:pPr>
        <w:pStyle w:val="ListParagraph"/>
        <w:numPr>
          <w:ilvl w:val="0"/>
          <w:numId w:val="2"/>
        </w:numPr>
        <w:spacing w:after="40" w:before="40"/>
      </w:pPr>
      <w:r>
        <w:rPr>
          <w:rFonts w:ascii="Calibri" w:cs="Calibri" w:eastAsia="Calibri" w:hAnsi="Calibri"/>
          <w:color w:val="1A1A1A"/>
          <w:sz w:val="22"/>
          <w:szCs w:val="22"/>
        </w:rPr>
        <w:t xml:space="preserve">Les montants sont exprimés en euros, hors taxes sauf mention contraire</w:t>
      </w:r>
    </w:p>
    <w:p>
      <w:pPr>
        <w:pStyle w:val="ListParagraph"/>
        <w:numPr>
          <w:ilvl w:val="0"/>
          <w:numId w:val="2"/>
        </w:numPr>
        <w:spacing w:after="40" w:before="40"/>
      </w:pPr>
      <w:r>
        <w:rPr>
          <w:rFonts w:ascii="Calibri" w:cs="Calibri" w:eastAsia="Calibri" w:hAnsi="Calibri"/>
          <w:color w:val="1A1A1A"/>
          <w:sz w:val="22"/>
          <w:szCs w:val="22"/>
        </w:rPr>
        <w:t xml:space="preserve">La TVA française de 20 % s'ajoute aux montants HT, selon la réglementation en vigueur</w:t>
      </w:r>
    </w:p>
    <w:p>
      <w:pPr>
        <w:pStyle w:val="ListParagraph"/>
        <w:numPr>
          <w:ilvl w:val="0"/>
          <w:numId w:val="2"/>
        </w:numPr>
        <w:spacing w:after="40" w:before="40"/>
      </w:pPr>
      <w:r>
        <w:rPr>
          <w:rFonts w:ascii="Calibri" w:cs="Calibri" w:eastAsia="Calibri" w:hAnsi="Calibri"/>
          <w:color w:val="1A1A1A"/>
          <w:sz w:val="22"/>
          <w:szCs w:val="22"/>
        </w:rPr>
        <w:t xml:space="preserve">Tout scope additionnel au-delà de celui décrit aux §5 et §6 fait l'objet d'un devis complémentaire et d'un bon de commande distinct</w:t>
      </w:r>
    </w:p>
    <w:p>
      <w:pPr>
        <w:pStyle w:val="ListParagraph"/>
        <w:numPr>
          <w:ilvl w:val="0"/>
          <w:numId w:val="2"/>
        </w:numPr>
        <w:spacing w:after="40" w:before="40"/>
      </w:pPr>
      <w:r>
        <w:rPr>
          <w:rFonts w:ascii="Calibri" w:cs="Calibri" w:eastAsia="Calibri" w:hAnsi="Calibri"/>
          <w:color w:val="1A1A1A"/>
          <w:sz w:val="22"/>
          <w:szCs w:val="22"/>
        </w:rPr>
        <w:t xml:space="preserve">La confidentialité des échanges est garantie par un engagement réciproque de non-divulgation</w:t>
      </w:r>
    </w:p>
    <w:p>
      <w:pPr>
        <w:pStyle w:val="ListParagraph"/>
        <w:numPr>
          <w:ilvl w:val="0"/>
          <w:numId w:val="2"/>
        </w:numPr>
        <w:spacing w:after="40" w:before="40"/>
      </w:pPr>
      <w:r>
        <w:rPr>
          <w:rFonts w:ascii="Calibri" w:cs="Calibri" w:eastAsia="Calibri" w:hAnsi="Calibri"/>
          <w:color w:val="1A1A1A"/>
          <w:sz w:val="22"/>
          <w:szCs w:val="22"/>
        </w:rPr>
        <w:t xml:space="preserve">Le droit applicable est le droit français ; en cas de litige, les tribunaux compétents seront ceux du siège du cédant</w:t>
      </w:r>
    </w:p>
    <w:p>
      <w:r>
        <w:br w:type="page"/>
      </w:r>
    </w:p>
    <w:p>
      <w:pPr>
        <w:pStyle w:val="Heading1"/>
        <w:spacing w:after="160" w:before="360"/>
      </w:pPr>
      <w:r>
        <w:rPr>
          <w:rFonts w:ascii="Calibri" w:cs="Calibri" w:eastAsia="Calibri" w:hAnsi="Calibri"/>
          <w:b/>
          <w:bCs/>
          <w:color w:val="1F3A5F"/>
          <w:sz w:val="32"/>
          <w:szCs w:val="32"/>
        </w:rPr>
        <w:t xml:space="preserve">8. Acceptation de la proposition</w:t>
      </w:r>
    </w:p>
    <w:p>
      <w:pPr>
        <w:spacing w:after="60" w:before="60"/>
        <w:jc w:val="left"/>
      </w:pPr>
      <w:r>
        <w:rPr>
          <w:rFonts w:ascii="Calibri" w:cs="Calibri" w:eastAsia="Calibri" w:hAnsi="Calibri"/>
          <w:b w:val="false"/>
          <w:bCs w:val="false"/>
          <w:i w:val="false"/>
          <w:iCs w:val="false"/>
          <w:color w:val="1A1A1A"/>
          <w:sz w:val="22"/>
          <w:szCs w:val="22"/>
        </w:rPr>
        <w:t xml:space="preserve">L'acceptation de la présente proposition par l'acquéreur vaut engagement réciproque des deux parties sur les termes exposés ci-dessus. L'acte définitif de cession et les contrats de prestations associés seront rédigés et signés dans un délai de 15 jours suivant la signature du bon pour accord.</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Pour le CÉDANT</w:t>
            </w:r>
          </w:p>
        </w:tc>
        <w:tc>
          <w:tcPr>
            <w:tcW w:type="dxa" w:w="46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Pour l'ACQUÉREUR</w:t>
            </w:r>
          </w:p>
        </w:tc>
      </w:tr>
      <w:tr>
        <w:tc>
          <w:tcPr>
            <w:tcW w:type="dxa" w:w="46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60" w:before="60"/>
              <w:jc w:val="left"/>
            </w:pPr>
            <w:r>
              <w:rPr>
                <w:rFonts w:ascii="Calibri" w:cs="Calibri" w:eastAsia="Calibri" w:hAnsi="Calibri"/>
                <w:b/>
                <w:bCs/>
                <w:i w:val="false"/>
                <w:iCs w:val="false"/>
                <w:color w:val="1A1A1A"/>
                <w:sz w:val="22"/>
                <w:szCs w:val="22"/>
              </w:rPr>
              <w:t xml:space="preserve">EYWAI SAS</w:t>
            </w:r>
          </w:p>
          <w:p>
            <w:pPr>
              <w:spacing w:after="60" w:before="60"/>
              <w:jc w:val="left"/>
            </w:pPr>
            <w:r>
              <w:rPr>
                <w:rFonts w:ascii="Calibri" w:cs="Calibri" w:eastAsia="Calibri" w:hAnsi="Calibri"/>
                <w:b w:val="false"/>
                <w:bCs w:val="false"/>
                <w:i w:val="false"/>
                <w:iCs w:val="false"/>
                <w:color w:val="1A1A1A"/>
                <w:sz w:val="22"/>
                <w:szCs w:val="22"/>
              </w:rPr>
              <w:t xml:space="preserve">Nom : ___________________________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Fonction : 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Date : ___________________________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Signature et cachet :</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tc>
        <w:tc>
          <w:tcPr>
            <w:tcW w:type="dxa" w:w="46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60" w:before="60"/>
              <w:jc w:val="left"/>
            </w:pPr>
            <w:r>
              <w:rPr>
                <w:rFonts w:ascii="Calibri" w:cs="Calibri" w:eastAsia="Calibri" w:hAnsi="Calibri"/>
                <w:b/>
                <w:bCs/>
                <w:i w:val="false"/>
                <w:iCs w:val="false"/>
                <w:color w:val="1A1A1A"/>
                <w:sz w:val="22"/>
                <w:szCs w:val="22"/>
              </w:rPr>
              <w:t xml:space="preserve">[Raison sociale]</w:t>
            </w:r>
          </w:p>
          <w:p>
            <w:pPr>
              <w:spacing w:after="60" w:before="60"/>
              <w:jc w:val="left"/>
            </w:pPr>
            <w:r>
              <w:rPr>
                <w:rFonts w:ascii="Calibri" w:cs="Calibri" w:eastAsia="Calibri" w:hAnsi="Calibri"/>
                <w:b w:val="false"/>
                <w:bCs w:val="false"/>
                <w:i w:val="false"/>
                <w:iCs w:val="false"/>
                <w:color w:val="1A1A1A"/>
                <w:sz w:val="22"/>
                <w:szCs w:val="22"/>
              </w:rPr>
              <w:t xml:space="preserve">Nom : ___________________________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Fonction : 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Date : ___________________________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Signature et cachet :</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tc>
      </w:tr>
    </w:tbl>
    <w:p>
      <w:pPr>
        <w:spacing w:after="60" w:before="60"/>
      </w:pPr>
      <w:r>
        <w:t xml:space="preserve"/>
      </w:r>
    </w:p>
    <w:p>
      <w:pPr>
        <w:spacing w:after="60" w:before="60"/>
      </w:pPr>
      <w:r>
        <w:t xml:space="preserve"/>
      </w:r>
    </w:p>
    <w:p>
      <w:pPr>
        <w:spacing w:after="60" w:before="60"/>
        <w:jc w:val="center"/>
      </w:pPr>
      <w:r>
        <w:rPr>
          <w:rFonts w:ascii="Calibri" w:cs="Calibri" w:eastAsia="Calibri" w:hAnsi="Calibri"/>
          <w:b w:val="false"/>
          <w:bCs w:val="false"/>
          <w:i/>
          <w:iCs/>
          <w:color w:val="5C5C5C"/>
          <w:sz w:val="22"/>
          <w:szCs w:val="22"/>
        </w:rPr>
        <w:t xml:space="preserve">Mention manuscrite requise de l'acquéreur : « Bon pour accord et acceptation de la proposition commerciale »</w:t>
      </w:r>
    </w:p>
    <w:p>
      <w:r>
        <w:br w:type="page"/>
      </w:r>
    </w:p>
    <w:p>
      <w:pPr>
        <w:spacing w:after="120" w:before="240"/>
        <w:jc w:val="center"/>
      </w:pPr>
      <w:r>
        <w:rPr>
          <w:rFonts w:ascii="Calibri" w:cs="Calibri" w:eastAsia="Calibri" w:hAnsi="Calibri"/>
          <w:b/>
          <w:bCs/>
          <w:color w:val="C00000"/>
          <w:sz w:val="22"/>
          <w:szCs w:val="22"/>
        </w:rPr>
        <w:t xml:space="preserve">DOCUMENT INTERNE EYWAI — NE PAS DIFFUSER À L’ACQUÉREUR</w:t>
      </w:r>
    </w:p>
    <w:p>
      <w:pPr>
        <w:pStyle w:val="Heading1"/>
        <w:spacing w:after="160" w:before="120"/>
      </w:pPr>
      <w:r>
        <w:rPr>
          <w:rFonts w:ascii="Calibri" w:cs="Calibri" w:eastAsia="Calibri" w:hAnsi="Calibri"/>
          <w:b/>
          <w:bCs/>
          <w:color w:val="1F3A5F"/>
          <w:sz w:val="32"/>
          <w:szCs w:val="32"/>
        </w:rPr>
        <w:t xml:space="preserve">Annexe — Points en cours à arbitrer avec Alex</w:t>
      </w:r>
    </w:p>
    <w:p>
      <w:pPr>
        <w:spacing w:after="60" w:before="60"/>
      </w:pPr>
      <w:r>
        <w:rPr>
          <w:rFonts w:ascii="Calibri" w:cs="Calibri" w:eastAsia="Calibri" w:hAnsi="Calibri"/>
          <w:i/>
          <w:iCs/>
          <w:color w:val="1A1A1A"/>
          <w:sz w:val="22"/>
          <w:szCs w:val="22"/>
        </w:rPr>
        <w:t xml:space="preserve">Synthèse des tâches Notion non terminées (Etat non coché) au regard du périmètre annoncé dans la proposition commerciale ci-avant. Objectif : arbitrer avec Alex les modules à finaliser avant cession, ceux qui peuvent passer en livraison post-cession (90 jours), et ceux à sortir du scope si le calendrier ne tient pas.</w:t>
      </w:r>
    </w:p>
    <w:p>
      <w:pPr>
        <w:pStyle w:val="Heading2"/>
        <w:spacing w:after="120" w:before="240"/>
      </w:pPr>
      <w:r>
        <w:rPr>
          <w:rFonts w:ascii="Calibri" w:cs="Calibri" w:eastAsia="Calibri" w:hAnsi="Calibri"/>
          <w:b/>
          <w:bCs/>
          <w:color w:val="C00000"/>
          <w:sz w:val="26"/>
          <w:szCs w:val="26"/>
        </w:rPr>
        <w:t xml:space="preserve">Priorité haute</w:t>
      </w:r>
    </w:p>
    <w:p>
      <w:pPr>
        <w:spacing w:after="60" w:before="160"/>
      </w:pPr>
      <w:r>
        <w:rPr>
          <w:rFonts w:ascii="Calibri" w:cs="Calibri" w:eastAsia="Calibri" w:hAnsi="Calibri"/>
          <w:b/>
          <w:bCs/>
          <w:color w:val="1F3A5F"/>
          <w:sz w:val="23"/>
          <w:szCs w:val="23"/>
        </w:rPr>
        <w:t xml:space="preserve">1. Pack Badgeuse &amp; Pointage</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(mention-page Notion)</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Pack listé au §3.7 comme livré. Risque sur la garantie de fonctionnement.</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(a) finaliser avant signature ? (b) livrer en post-cession dans les 90j ? (c) sortir du scope et proposer en option payante ?</w:t>
      </w:r>
    </w:p>
    <w:p>
      <w:pPr>
        <w:spacing w:after="60" w:before="160"/>
      </w:pPr>
      <w:r>
        <w:rPr>
          <w:rFonts w:ascii="Calibri" w:cs="Calibri" w:eastAsia="Calibri" w:hAnsi="Calibri"/>
          <w:b/>
          <w:bCs/>
          <w:color w:val="1F3A5F"/>
          <w:sz w:val="23"/>
          <w:szCs w:val="23"/>
        </w:rPr>
        <w:t xml:space="preserve">2. Contrôleur DSN</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(mention-page Notion)</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Génération et transmission DSN opérationnelles (§3.1). Le contrôleur de validation/détection d’anomalies n’est pas livré.</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estimation effort ? livrable à J0 ou en post-cession 90j ?</w:t>
      </w:r>
    </w:p>
    <w:p>
      <w:pPr>
        <w:spacing w:after="60" w:before="160"/>
      </w:pPr>
      <w:r>
        <w:rPr>
          <w:rFonts w:ascii="Calibri" w:cs="Calibri" w:eastAsia="Calibri" w:hAnsi="Calibri"/>
          <w:b/>
          <w:bCs/>
          <w:color w:val="1F3A5F"/>
          <w:sz w:val="23"/>
          <w:szCs w:val="23"/>
        </w:rPr>
        <w:t xml:space="preserve">3. Interfaçage comptabilité</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(mention-page Notion)</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Mentionné deux fois dans la proposition : §3.1 (Intégrations de base FEC) et §3.10 Pack Expert-Comptable (connecteurs Sage, Cegid, QuickBooks, Pennylane).</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quel niveau d’intégration réellement livrable ? FEC seul à J0 + connecteurs en option ? Tous connecteurs à J0 ?</w:t>
      </w:r>
    </w:p>
    <w:p>
      <w:pPr>
        <w:spacing w:after="60" w:before="160"/>
      </w:pPr>
      <w:r>
        <w:rPr>
          <w:rFonts w:ascii="Calibri" w:cs="Calibri" w:eastAsia="Calibri" w:hAnsi="Calibri"/>
          <w:b/>
          <w:bCs/>
          <w:color w:val="1F3A5F"/>
          <w:sz w:val="23"/>
          <w:szCs w:val="23"/>
        </w:rPr>
        <w:t xml:space="preserve">4. Fiche individuelle / paramétrage société</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(mention-page Notion + capture SILAE)</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Écran de paramétrage avec choix congés ouvrés/ouvrables, posé comme acquis dans le Socle Paie (§3.1).</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effort réel ? bloquant pour bascule en production ?</w:t>
      </w:r>
    </w:p>
    <w:p>
      <w:pPr>
        <w:spacing w:after="60" w:before="160"/>
      </w:pPr>
      <w:r>
        <w:rPr>
          <w:rFonts w:ascii="Calibri" w:cs="Calibri" w:eastAsia="Calibri" w:hAnsi="Calibri"/>
          <w:b/>
          <w:bCs/>
          <w:color w:val="1F3A5F"/>
          <w:sz w:val="23"/>
          <w:szCs w:val="23"/>
        </w:rPr>
        <w:t xml:space="preserve">5. Refonte Dashboard</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notes éparses (test psycho, KPIs, diffusion annonce auto, pop-up info salarié recruté)</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Dashboards RH personnalisables listés au §3.9. Affecte la démo et la perception produit.</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périmètre minimal acceptable pour la démo ? scope refonte complète en post-cession ?</w:t>
      </w:r>
    </w:p>
    <w:p>
      <w:pPr>
        <w:pStyle w:val="Heading2"/>
        <w:spacing w:after="120" w:before="240"/>
      </w:pPr>
      <w:r>
        <w:rPr>
          <w:rFonts w:ascii="Calibri" w:cs="Calibri" w:eastAsia="Calibri" w:hAnsi="Calibri"/>
          <w:b/>
          <w:bCs/>
          <w:color w:val="C55A11"/>
          <w:sz w:val="26"/>
          <w:szCs w:val="26"/>
        </w:rPr>
        <w:t xml:space="preserve">Priorité moyenne</w:t>
      </w:r>
    </w:p>
    <w:p>
      <w:pPr>
        <w:spacing w:after="60" w:before="160"/>
      </w:pPr>
      <w:r>
        <w:rPr>
          <w:rFonts w:ascii="Calibri" w:cs="Calibri" w:eastAsia="Calibri" w:hAnsi="Calibri"/>
          <w:b/>
          <w:bCs/>
          <w:color w:val="1F3A5F"/>
          <w:sz w:val="23"/>
          <w:szCs w:val="23"/>
        </w:rPr>
        <w:t xml:space="preserve">6. Parcours utilisateur / réorganisation des onglets</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(Navigation_Interface_EYWAI_Fonctionnel.pdf)</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Chantier UX qui touche tout le produit. Pas de mention spécifique dans la proposition.</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à livrer avant la démo de cession ? cosmétique post-cession ? Inclut volet CSE (heures de délégation, espace salarié).</w:t>
      </w:r>
    </w:p>
    <w:p>
      <w:pPr>
        <w:spacing w:after="60" w:before="160"/>
      </w:pPr>
      <w:r>
        <w:rPr>
          <w:rFonts w:ascii="Calibri" w:cs="Calibri" w:eastAsia="Calibri" w:hAnsi="Calibri"/>
          <w:b/>
          <w:bCs/>
          <w:color w:val="1F3A5F"/>
          <w:sz w:val="23"/>
          <w:szCs w:val="23"/>
        </w:rPr>
        <w:t xml:space="preserve">7. Section « Contrôle et génération de la paie »</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mentions-page Notion uniquement</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Complément d’UX sur le cœur paie. Indirectement couvert par le Socle Paie (§3.1).</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design + dev avant cession ? ou inclus dans la refonte UX globale post-cession ?</w:t>
      </w:r>
    </w:p>
    <w:p>
      <w:pPr>
        <w:pStyle w:val="Heading2"/>
        <w:spacing w:after="120" w:before="240"/>
      </w:pPr>
      <w:r>
        <w:rPr>
          <w:rFonts w:ascii="Calibri" w:cs="Calibri" w:eastAsia="Calibri" w:hAnsi="Calibri"/>
          <w:b/>
          <w:bCs/>
          <w:color w:val="548235"/>
          <w:sz w:val="26"/>
          <w:szCs w:val="26"/>
        </w:rPr>
        <w:t xml:space="preserve">Priorité basse</w:t>
      </w:r>
    </w:p>
    <w:p>
      <w:pPr>
        <w:spacing w:after="60" w:before="160"/>
      </w:pPr>
      <w:r>
        <w:rPr>
          <w:rFonts w:ascii="Calibri" w:cs="Calibri" w:eastAsia="Calibri" w:hAnsi="Calibri"/>
          <w:b/>
          <w:bCs/>
          <w:color w:val="1F3A5F"/>
          <w:sz w:val="23"/>
          <w:szCs w:val="23"/>
        </w:rPr>
        <w:t xml:space="preserve">8. Spécificités alternance</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 / à ajouter dans la DB Paie</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mention-page Notion</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Pas de mention explicite dans la proposition. Risque commercial faible si l’acquéreur n’a pas d’alternants.</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à livrer dans les 90j ? ou en option payante selon profil acquéreur ?</w:t>
      </w:r>
    </w:p>
    <w:p>
      <w:pPr>
        <w:spacing w:after="60" w:before="160"/>
      </w:pPr>
      <w:r>
        <w:rPr>
          <w:rFonts w:ascii="Calibri" w:cs="Calibri" w:eastAsia="Calibri" w:hAnsi="Calibri"/>
          <w:b/>
          <w:bCs/>
          <w:color w:val="1F3A5F"/>
          <w:sz w:val="23"/>
          <w:szCs w:val="23"/>
        </w:rPr>
        <w:t xml:space="preserve">9. Bibliothèque d’attestations P0</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(Attestations_Obligatoires_P0_EYWAI.pdf)</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Les attestations standard sont opérationnelles. Il s’agit d’une extension du catalogue.</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extension à livrer avant cession ? ou planifiée en post-cession 90j ?</w:t>
      </w:r>
    </w:p>
    <w:p>
      <w:pPr>
        <w:pStyle w:val="Heading2"/>
        <w:spacing w:after="120" w:before="240"/>
      </w:pPr>
      <w:r>
        <w:rPr>
          <w:rFonts w:ascii="Calibri" w:cs="Calibri" w:eastAsia="Calibri" w:hAnsi="Calibri"/>
          <w:b/>
          <w:bCs/>
          <w:color w:val="2E75B6"/>
          <w:sz w:val="26"/>
          <w:szCs w:val="26"/>
        </w:rPr>
        <w:t xml:space="preserve">Questions transverses pour le rdv Alex</w:t>
      </w:r>
    </w:p>
    <w:p>
      <w:pPr>
        <w:spacing w:after="60" w:before="60"/>
      </w:pPr>
      <w:r>
        <w:rPr>
          <w:rFonts w:ascii="Calibri" w:cs="Calibri" w:eastAsia="Calibri" w:hAnsi="Calibri"/>
          <w:color w:val="1A1A1A"/>
          <w:sz w:val="22"/>
          <w:szCs w:val="22"/>
        </w:rPr>
        <w:t xml:space="preserve">1. Sur les 9 chantiers ci-dessus, lesquels sont réellement bloquants pour la signature ? Quelle est la liste minimale à livrer à J0 ?</w:t>
      </w:r>
    </w:p>
    <w:p>
      <w:pPr>
        <w:spacing w:after="60" w:before="60"/>
      </w:pPr>
      <w:r>
        <w:rPr>
          <w:rFonts w:ascii="Calibri" w:cs="Calibri" w:eastAsia="Calibri" w:hAnsi="Calibri"/>
          <w:color w:val="1A1A1A"/>
          <w:sz w:val="22"/>
          <w:szCs w:val="22"/>
        </w:rPr>
        <w:t xml:space="preserve">2. Quel calendrier réaliste pour les chantiers post-cession (engagement de 90j d’accompagnement dans la proposition au §4.4) ?</w:t>
      </w:r>
    </w:p>
    <w:p>
      <w:pPr>
        <w:spacing w:after="60" w:before="60"/>
      </w:pPr>
      <w:r>
        <w:rPr>
          <w:rFonts w:ascii="Calibri" w:cs="Calibri" w:eastAsia="Calibri" w:hAnsi="Calibri"/>
          <w:color w:val="1A1A1A"/>
          <w:sz w:val="22"/>
          <w:szCs w:val="22"/>
        </w:rPr>
        <w:t xml:space="preserve">3. Y a-t-il des modules à sortir purement et simplement du scope cession et à positionner en option payante ? (Badgeuse, connecteurs comptables avancés, alternance)</w:t>
      </w:r>
    </w:p>
    <w:p>
      <w:pPr>
        <w:spacing w:after="60" w:before="60"/>
      </w:pPr>
      <w:r>
        <w:rPr>
          <w:rFonts w:ascii="Calibri" w:cs="Calibri" w:eastAsia="Calibri" w:hAnsi="Calibri"/>
          <w:color w:val="1A1A1A"/>
          <w:sz w:val="22"/>
          <w:szCs w:val="22"/>
        </w:rPr>
        <w:t xml:space="preserve">4. Confirmation du provider signature électronique : Yousign retenu ? Statut intégration ?</w:t>
      </w:r>
    </w:p>
    <w:p>
      <w:pPr>
        <w:spacing w:after="60" w:before="60"/>
      </w:pPr>
      <w:r>
        <w:rPr>
          <w:rFonts w:ascii="Calibri" w:cs="Calibri" w:eastAsia="Calibri" w:hAnsi="Calibri"/>
          <w:color w:val="1A1A1A"/>
          <w:sz w:val="22"/>
          <w:szCs w:val="22"/>
        </w:rPr>
        <w:t xml:space="preserve">5. Faut-il ajuster le forfait implementation (5k€) pour couvrir le reste à livrer post-signature ?</w:t>
      </w:r>
    </w:p>
    <w:p>
      <w:pPr>
        <w:spacing w:after="60" w:before="60"/>
      </w:pPr>
      <w:r>
        <w:rPr>
          <w:rFonts w:ascii="Calibri" w:cs="Calibri" w:eastAsia="Calibri" w:hAnsi="Calibri"/>
          <w:i/>
          <w:iCs/>
          <w:color w:val="5C5C5C"/>
          <w:sz w:val="22"/>
          <w:szCs w:val="22"/>
        </w:rPr>
        <w:t xml:space="preserve">Document de travail interne. À présenter en rdv 1:1 avec Alex pour arbitrage et planning de finalisation. À ne pas inclure dans le PDF envoyé à l’acquéreur.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Calibri" w:cs="Calibri" w:eastAsia="Calibri" w:hAnsi="Calibri"/>
        <w:color w:val="5C5C5C"/>
        <w:sz w:val="18"/>
        <w:szCs w:val="18"/>
      </w:rPr>
      <w:t xml:space="preserve">Proposition commerciale EYWAI  |  Confidentiel  |  Page </w:t>
    </w:r>
    <w:r>
      <w:rPr>
        <w:rFonts w:ascii="Calibri" w:cs="Calibri" w:eastAsia="Calibri" w:hAnsi="Calibri"/>
        <w:color w:val="5C5C5C"/>
        <w:sz w:val="18"/>
        <w:szCs w:val="18"/>
      </w:rPr>
      <w:fldChar w:fldCharType="begin"/>
      <w:instrText xml:space="preserve">PAGE</w:instrText>
      <w:fldChar w:fldCharType="separate"/>
      <w:fldChar w:fldCharType="end"/>
    </w:r>
    <w:r>
      <w:rPr>
        <w:rFonts w:ascii="Calibri" w:cs="Calibri" w:eastAsia="Calibri" w:hAnsi="Calibri"/>
        <w:color w:val="5C5C5C"/>
        <w:sz w:val="18"/>
        <w:szCs w:val="18"/>
      </w:rPr>
      <w:t xml:space="preserve"> / </w:t>
    </w:r>
    <w:r>
      <w:rPr>
        <w:rFonts w:ascii="Calibri" w:cs="Calibri" w:eastAsia="Calibri" w:hAnsi="Calibri"/>
        <w:color w:val="5C5C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5C5C"/>
        <w:sz w:val="18"/>
        <w:szCs w:val="18"/>
      </w:rPr>
      <w:t xml:space="preserve">EYWAI  —  Proposition de cession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color w:val="2E75B6"/>
      </w:r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commerciale - Cession EYWAI</dc:title>
  <dc:creator>EYWAI</dc:creator>
  <cp:lastModifiedBy>Un-named</cp:lastModifiedBy>
  <cp:revision>1</cp:revision>
  <dcterms:created xsi:type="dcterms:W3CDTF">2026-04-22T15:32:59.176Z</dcterms:created>
  <dcterms:modified xsi:type="dcterms:W3CDTF">2026-04-22T15:32:59.177Z</dcterms:modified>
</cp:coreProperties>
</file>

<file path=docProps/custom.xml><?xml version="1.0" encoding="utf-8"?>
<Properties xmlns="http://schemas.openxmlformats.org/officeDocument/2006/custom-properties" xmlns:vt="http://schemas.openxmlformats.org/officeDocument/2006/docPropsVTypes"/>
</file>