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04 — Serveur — V2</w:t>
      </w:r>
    </w:p>
    <w:p>
      <w:pPr>
        <w:pStyle w:val="BodyText"/>
      </w:pPr>
      <w:r>
        <w:rPr>
          <w:i/>
          <w:iCs/>
        </w:rPr>
        <w:t xml:space="preserve">Sécurité familiale, agrégations, observabilité et outils</w:t>
      </w:r>
      <w:r>
        <w:rPr>
          <w:i/>
          <w:iCs/>
        </w:rPr>
        <w:t xml:space="preserve"> </w:t>
      </w:r>
      <w:r>
        <w:rPr>
          <w:i/>
          <w:iCs/>
        </w:rPr>
        <w:t xml:space="preserve">d’exploitation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La V2 enrichit le serveur sans modifier le contrat de tracking. Les</w:t>
      </w:r>
      <w:r>
        <w:t xml:space="preserve"> </w:t>
      </w:r>
      <w:r>
        <w:t xml:space="preserve">nouvelles capacités concernent surtout l’accès familial, les</w:t>
      </w:r>
      <w:r>
        <w:t xml:space="preserve"> </w:t>
      </w:r>
      <w:r>
        <w:t xml:space="preserve">statistiques, les alertes et l’exploitation à distance.</w:t>
      </w:r>
    </w:p>
    <w:p>
      <w:pPr>
        <w:pStyle w:val="BodyText"/>
      </w:pPr>
      <w:r>
        <w:t xml:space="preserve">Elle durcit le déploiement sur VPS et domaine personnel sans migrer par</w:t>
      </w:r>
      <w:r>
        <w:t xml:space="preserve"> </w:t>
      </w:r>
      <w:r>
        <w:t xml:space="preserve">défaut vers une plateforme GAFAM managée.</w:t>
      </w:r>
    </w:p>
    <w:bookmarkEnd w:id="9"/>
    <w:bookmarkStart w:id="10" w:name="nouveaux-domaines"/>
    <w:p>
      <w:pPr>
        <w:pStyle w:val="Heading1"/>
      </w:pPr>
      <w:r>
        <w:t xml:space="preserve">2. Nouveaux domaines</w:t>
      </w:r>
    </w:p>
    <w:p>
      <w:pPr>
        <w:pStyle w:val="BlockText"/>
      </w:pPr>
      <w:r>
        <w:t xml:space="preserve">auth-family</w:t>
      </w:r>
      <w:r>
        <w:br/>
      </w:r>
      <w:r>
        <w:t xml:space="preserve">trip-sharing</w:t>
      </w:r>
      <w:r>
        <w:br/>
      </w:r>
      <w:r>
        <w:t xml:space="preserve">location-ingest</w:t>
      </w:r>
      <w:r>
        <w:br/>
      </w:r>
      <w:r>
        <w:t xml:space="preserve">location-query</w:t>
      </w:r>
      <w:r>
        <w:br/>
      </w:r>
      <w:r>
        <w:t xml:space="preserve">trip-stats</w:t>
      </w:r>
      <w:r>
        <w:br/>
      </w:r>
      <w:r>
        <w:t xml:space="preserve">device-health</w:t>
      </w:r>
      <w:r>
        <w:br/>
      </w:r>
      <w:r>
        <w:t xml:space="preserve">alerts</w:t>
      </w:r>
      <w:r>
        <w:br/>
      </w:r>
      <w:r>
        <w:t xml:space="preserve">admin</w:t>
      </w:r>
    </w:p>
    <w:bookmarkEnd w:id="10"/>
    <w:bookmarkStart w:id="11" w:name="comptes-et-partage"/>
    <w:p>
      <w:pPr>
        <w:pStyle w:val="Heading1"/>
      </w:pPr>
      <w:r>
        <w:t xml:space="preserve">3. Comptes et partage</w:t>
      </w:r>
    </w:p>
    <w:p>
      <w:pPr>
        <w:numPr>
          <w:ilvl w:val="0"/>
          <w:numId w:val="1001"/>
        </w:numPr>
      </w:pPr>
      <w:r>
        <w:t xml:space="preserve">Compte propriétaire/admin.</w:t>
      </w:r>
    </w:p>
    <w:p>
      <w:pPr>
        <w:numPr>
          <w:ilvl w:val="0"/>
          <w:numId w:val="1001"/>
        </w:numPr>
      </w:pPr>
      <w:r>
        <w:t xml:space="preserve">Comptes famille optionnels.</w:t>
      </w:r>
    </w:p>
    <w:p>
      <w:pPr>
        <w:numPr>
          <w:ilvl w:val="0"/>
          <w:numId w:val="1001"/>
        </w:numPr>
      </w:pPr>
      <w:r>
        <w:t xml:space="preserve">Lien privé révocable optionnel.</w:t>
      </w:r>
    </w:p>
    <w:p>
      <w:pPr>
        <w:numPr>
          <w:ilvl w:val="0"/>
          <w:numId w:val="1001"/>
        </w:numPr>
      </w:pPr>
      <w:r>
        <w:t xml:space="preserve">Rôles : owner / viewer.</w:t>
      </w:r>
    </w:p>
    <w:p>
      <w:pPr>
        <w:numPr>
          <w:ilvl w:val="0"/>
          <w:numId w:val="1001"/>
        </w:numPr>
      </w:pPr>
      <w:r>
        <w:t xml:space="preserve">Possibilité future de publier une version retardée ou moins précise du</w:t>
      </w:r>
      <w:r>
        <w:t xml:space="preserve"> </w:t>
      </w:r>
      <w:r>
        <w:t xml:space="preserve">trajet.</w:t>
      </w:r>
    </w:p>
    <w:bookmarkEnd w:id="11"/>
    <w:bookmarkStart w:id="12" w:name="device-health"/>
    <w:p>
      <w:pPr>
        <w:pStyle w:val="Heading1"/>
      </w:pPr>
      <w:r>
        <w:t xml:space="preserve">4. Device health</w:t>
      </w:r>
    </w:p>
    <w:p>
      <w:pPr>
        <w:numPr>
          <w:ilvl w:val="0"/>
          <w:numId w:val="1002"/>
        </w:numPr>
      </w:pPr>
      <w:r>
        <w:t xml:space="preserve">lastSeenAt</w:t>
      </w:r>
    </w:p>
    <w:p>
      <w:pPr>
        <w:numPr>
          <w:ilvl w:val="0"/>
          <w:numId w:val="1002"/>
        </w:numPr>
      </w:pPr>
      <w:r>
        <w:t xml:space="preserve">lastLocationAt</w:t>
      </w:r>
    </w:p>
    <w:p>
      <w:pPr>
        <w:numPr>
          <w:ilvl w:val="0"/>
          <w:numId w:val="1002"/>
        </w:numPr>
      </w:pPr>
      <w:r>
        <w:t xml:space="preserve">batteryPercent</w:t>
      </w:r>
    </w:p>
    <w:p>
      <w:pPr>
        <w:numPr>
          <w:ilvl w:val="0"/>
          <w:numId w:val="1002"/>
        </w:numPr>
      </w:pPr>
      <w:r>
        <w:t xml:space="preserve">pendingCount</w:t>
      </w:r>
    </w:p>
    <w:p>
      <w:pPr>
        <w:numPr>
          <w:ilvl w:val="0"/>
          <w:numId w:val="1002"/>
        </w:numPr>
      </w:pPr>
      <w:r>
        <w:t xml:space="preserve">appVersion</w:t>
      </w:r>
    </w:p>
    <w:p>
      <w:pPr>
        <w:numPr>
          <w:ilvl w:val="0"/>
          <w:numId w:val="1002"/>
        </w:numPr>
      </w:pPr>
      <w:r>
        <w:t xml:space="preserve">lastSyncAt</w:t>
      </w:r>
    </w:p>
    <w:bookmarkEnd w:id="12"/>
    <w:bookmarkStart w:id="13" w:name="agrégations"/>
    <w:p>
      <w:pPr>
        <w:pStyle w:val="Heading1"/>
      </w:pPr>
      <w:r>
        <w:t xml:space="preserve">5. Agrégations</w:t>
      </w:r>
    </w:p>
    <w:p>
      <w:pPr>
        <w:numPr>
          <w:ilvl w:val="0"/>
          <w:numId w:val="1003"/>
        </w:numPr>
      </w:pPr>
      <w:r>
        <w:t xml:space="preserve">Distance du jour.</w:t>
      </w:r>
    </w:p>
    <w:p>
      <w:pPr>
        <w:numPr>
          <w:ilvl w:val="0"/>
          <w:numId w:val="1003"/>
        </w:numPr>
      </w:pPr>
      <w:r>
        <w:t xml:space="preserve">Distance totale.</w:t>
      </w:r>
    </w:p>
    <w:p>
      <w:pPr>
        <w:numPr>
          <w:ilvl w:val="0"/>
          <w:numId w:val="1003"/>
        </w:numPr>
      </w:pPr>
      <w:r>
        <w:t xml:space="preserve">Points par jour.</w:t>
      </w:r>
    </w:p>
    <w:p>
      <w:pPr>
        <w:numPr>
          <w:ilvl w:val="0"/>
          <w:numId w:val="1003"/>
        </w:numPr>
      </w:pPr>
      <w:r>
        <w:t xml:space="preserve">Durée estimée de déplacement.</w:t>
      </w:r>
    </w:p>
    <w:p>
      <w:pPr>
        <w:numPr>
          <w:ilvl w:val="0"/>
          <w:numId w:val="1003"/>
        </w:numPr>
      </w:pPr>
      <w:r>
        <w:t xml:space="preserve">Altitude cumulée seulement après validation d’une méthode fiable.</w:t>
      </w:r>
    </w:p>
    <w:bookmarkEnd w:id="13"/>
    <w:bookmarkStart w:id="14" w:name="données-cartographiques-optimisées"/>
    <w:p>
      <w:pPr>
        <w:pStyle w:val="Heading1"/>
      </w:pPr>
      <w:r>
        <w:t xml:space="preserve">6. Données cartographiques optimisées</w:t>
      </w:r>
    </w:p>
    <w:p>
      <w:pPr>
        <w:pStyle w:val="FirstParagraph"/>
      </w:pPr>
      <w:r>
        <w:t xml:space="preserve">Conserver tous les points bruts, mais exposer éventuellement des routes</w:t>
      </w:r>
      <w:r>
        <w:t xml:space="preserve"> </w:t>
      </w:r>
      <w:r>
        <w:t xml:space="preserve">simplifiées pour les grandes périodes. Les endpoints de détail restent</w:t>
      </w:r>
      <w:r>
        <w:t xml:space="preserve"> </w:t>
      </w:r>
      <w:r>
        <w:t xml:space="preserve">disponibles pour un jour précis.</w:t>
      </w:r>
    </w:p>
    <w:bookmarkEnd w:id="14"/>
    <w:bookmarkStart w:id="15" w:name="alertes"/>
    <w:p>
      <w:pPr>
        <w:pStyle w:val="Heading1"/>
      </w:pPr>
      <w:r>
        <w:t xml:space="preserve">7. Alertes</w:t>
      </w:r>
    </w:p>
    <w:p>
      <w:pPr>
        <w:numPr>
          <w:ilvl w:val="0"/>
          <w:numId w:val="1004"/>
        </w:numPr>
      </w:pPr>
      <w:r>
        <w:t xml:space="preserve">Aucun contact appareil depuis X heures.</w:t>
      </w:r>
    </w:p>
    <w:p>
      <w:pPr>
        <w:numPr>
          <w:ilvl w:val="0"/>
          <w:numId w:val="1004"/>
        </w:numPr>
      </w:pPr>
      <w:r>
        <w:t xml:space="preserve">Aucune position depuis X heures.</w:t>
      </w:r>
    </w:p>
    <w:p>
      <w:pPr>
        <w:numPr>
          <w:ilvl w:val="0"/>
          <w:numId w:val="1004"/>
        </w:numPr>
      </w:pPr>
      <w:r>
        <w:t xml:space="preserve">Batterie faible si l’information est disponible.</w:t>
      </w:r>
    </w:p>
    <w:p>
      <w:pPr>
        <w:numPr>
          <w:ilvl w:val="0"/>
          <w:numId w:val="1004"/>
        </w:numPr>
      </w:pPr>
      <w:r>
        <w:t xml:space="preserve">Backlog important signalé par heartbeat.</w:t>
      </w:r>
    </w:p>
    <w:bookmarkEnd w:id="15"/>
    <w:bookmarkStart w:id="16" w:name="observabilité"/>
    <w:p>
      <w:pPr>
        <w:pStyle w:val="Heading1"/>
      </w:pPr>
      <w:r>
        <w:t xml:space="preserve">8. Observabilité</w:t>
      </w:r>
    </w:p>
    <w:p>
      <w:pPr>
        <w:numPr>
          <w:ilvl w:val="0"/>
          <w:numId w:val="1005"/>
        </w:numPr>
      </w:pPr>
      <w:r>
        <w:t xml:space="preserve">Logs JSON structurés.</w:t>
      </w:r>
    </w:p>
    <w:p>
      <w:pPr>
        <w:numPr>
          <w:ilvl w:val="0"/>
          <w:numId w:val="1005"/>
        </w:numPr>
      </w:pPr>
      <w:r>
        <w:t xml:space="preserve">Métriques : taux d’erreur, latency, points/min, dernier point reçu.</w:t>
      </w:r>
    </w:p>
    <w:p>
      <w:pPr>
        <w:numPr>
          <w:ilvl w:val="0"/>
          <w:numId w:val="1005"/>
        </w:numPr>
      </w:pPr>
      <w:r>
        <w:t xml:space="preserve">Healthcheck API et DB.</w:t>
      </w:r>
    </w:p>
    <w:p>
      <w:pPr>
        <w:numPr>
          <w:ilvl w:val="0"/>
          <w:numId w:val="1005"/>
        </w:numPr>
      </w:pPr>
      <w:r>
        <w:t xml:space="preserve">Alerting externe pour indisponibilité.</w:t>
      </w:r>
    </w:p>
    <w:p>
      <w:pPr>
        <w:pStyle w:val="FirstParagraph"/>
      </w:pPr>
      <w:r>
        <w:t xml:space="preserve">Les outils d’observabilité doivent être auto-hébergés ou choisis pour ne</w:t>
      </w:r>
      <w:r>
        <w:t xml:space="preserve"> </w:t>
      </w:r>
      <w:r>
        <w:t xml:space="preserve">pas recevoir de coordonnées précises. Les métriques autorisées par</w:t>
      </w:r>
      <w:r>
        <w:t xml:space="preserve"> </w:t>
      </w:r>
      <w:r>
        <w:t xml:space="preserve">défaut sont techniques et agrégées : erreurs, latence, âge du dernier</w:t>
      </w:r>
      <w:r>
        <w:t xml:space="preserve"> </w:t>
      </w:r>
      <w:r>
        <w:t xml:space="preserve">point, état des backups.</w:t>
      </w:r>
    </w:p>
    <w:p>
      <w:pPr>
        <w:pStyle w:val="BodyText"/>
      </w:pPr>
      <w:r>
        <w:t xml:space="preserve">La configuration d’observabilité, alertes, sessions, comptes famille et</w:t>
      </w:r>
      <w:r>
        <w:t xml:space="preserve"> </w:t>
      </w:r>
      <w:r>
        <w:t xml:space="preserve">backups reste injectée par environnement. Le dépôt public ne stocke que</w:t>
      </w:r>
      <w:r>
        <w:t xml:space="preserve"> </w:t>
      </w:r>
      <w:r>
        <w:t xml:space="preserve">des exemples.</w:t>
      </w:r>
    </w:p>
    <w:bookmarkEnd w:id="16"/>
    <w:bookmarkStart w:id="17" w:name="évolution-de-base"/>
    <w:p>
      <w:pPr>
        <w:pStyle w:val="Heading1"/>
      </w:pPr>
      <w:r>
        <w:t xml:space="preserve">9. Évolution de base</w:t>
      </w:r>
    </w:p>
    <w:p>
      <w:pPr>
        <w:pStyle w:val="BlockText"/>
      </w:pPr>
      <w:r>
        <w:t xml:space="preserve">users</w:t>
      </w:r>
      <w:r>
        <w:br/>
      </w:r>
      <w:r>
        <w:t xml:space="preserve">trip_members</w:t>
      </w:r>
      <w:r>
        <w:br/>
      </w:r>
      <w:r>
        <w:t xml:space="preserve">share_links</w:t>
      </w:r>
      <w:r>
        <w:br/>
      </w:r>
      <w:r>
        <w:t xml:space="preserve">device_status</w:t>
      </w:r>
      <w:r>
        <w:br/>
      </w:r>
      <w:r>
        <w:t xml:space="preserve">alerts</w:t>
      </w:r>
      <w:r>
        <w:br/>
      </w:r>
      <w:r>
        <w:t xml:space="preserve">(optional) daily_trip_stats</w:t>
      </w:r>
    </w:p>
    <w:bookmarkEnd w:id="17"/>
    <w:bookmarkStart w:id="18" w:name="compatibilité"/>
    <w:p>
      <w:pPr>
        <w:pStyle w:val="Heading1"/>
      </w:pPr>
      <w:r>
        <w:t xml:space="preserve">10. Compatibilité</w:t>
      </w:r>
    </w:p>
    <w:p>
      <w:pPr>
        <w:pStyle w:val="FirstParagraph"/>
      </w:pPr>
      <w:r>
        <w:t xml:space="preserve">L’endpoint POST /api/v1/locations/batch reste inchangé. Les nouveaux</w:t>
      </w:r>
      <w:r>
        <w:t xml:space="preserve"> </w:t>
      </w:r>
      <w:r>
        <w:t xml:space="preserve">services sont additifs. L’application Android POC peut donc continuer à</w:t>
      </w:r>
      <w:r>
        <w:t xml:space="preserve"> </w:t>
      </w:r>
      <w:r>
        <w:t xml:space="preserve">fonctionner contre le serveur V2.</w:t>
      </w:r>
    </w:p>
    <w:bookmarkEnd w:id="18"/>
    <w:bookmarkStart w:id="19" w:name="limites-explicites"/>
    <w:p>
      <w:pPr>
        <w:pStyle w:val="Heading1"/>
      </w:pPr>
      <w:r>
        <w:t xml:space="preserve">11. Limites explicites</w:t>
      </w:r>
    </w:p>
    <w:p>
      <w:pPr>
        <w:pStyle w:val="FirstParagraph"/>
      </w:pPr>
      <w:r>
        <w:t xml:space="preserve">Ne pas ajouter de pipeline data, entrepôt analytique, service de BI,</w:t>
      </w:r>
      <w:r>
        <w:t xml:space="preserve"> </w:t>
      </w:r>
      <w:r>
        <w:t xml:space="preserve">Firebase, Google Cloud, AWS managé, Azure managé ou monitoring SaaS tant</w:t>
      </w:r>
      <w:r>
        <w:t xml:space="preserve"> </w:t>
      </w:r>
      <w:r>
        <w:t xml:space="preserve">que le besoin réel n’a pas été observé. La V2 reste un monolithe</w:t>
      </w:r>
      <w:r>
        <w:t xml:space="preserve"> </w:t>
      </w:r>
      <w:r>
        <w:t xml:space="preserve">modulaire exploité sur VPS.</w:t>
      </w:r>
    </w:p>
    <w:p>
      <w:pPr>
        <w:pStyle w:val="BodyText"/>
      </w:pPr>
      <w:r>
        <w:t xml:space="preserve">Ne pas publier de dump de production, export GPS, fichier de backup,</w:t>
      </w:r>
      <w:r>
        <w:t xml:space="preserve"> </w:t>
      </w:r>
      <w:r>
        <w:t xml:space="preserve">token famille ou configuration réelle dans GitHub, même temporairement.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2026-08-18T18:39:53Z</dcterms:created>
  <dcterms:modified xsi:type="dcterms:W3CDTF">2026-08-18T18:39:53Z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