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08 — Infrastructure &amp; opérations — V2</w:t>
      </w:r>
    </w:p>
    <w:p>
      <w:pPr>
        <w:pStyle w:val="BodyText"/>
      </w:pPr>
      <w:r>
        <w:rPr>
          <w:i/>
          <w:iCs/>
        </w:rPr>
        <w:t xml:space="preserve">Surveillance proactive, staging, alertes et plan de reprise</w:t>
      </w:r>
    </w:p>
    <w:p>
      <w:pPr>
        <w:pStyle w:val="BodyText"/>
      </w:pPr>
      <w:r>
        <w:rPr>
          <w:i/>
          <w:iCs/>
        </w:rPr>
        <w:t xml:space="preserve">Projet : suivi d’un voyage à vélo pendant 1 an — Android → serveur →</w:t>
      </w:r>
      <w:r>
        <w:rPr>
          <w:i/>
          <w:iCs/>
        </w:rPr>
        <w:t xml:space="preserve"> </w:t>
      </w:r>
      <w:r>
        <w:rPr>
          <w:i/>
          <w:iCs/>
        </w:rPr>
        <w:t xml:space="preserve">site familial</w:t>
      </w:r>
    </w:p>
    <w:bookmarkStart w:id="9" w:name="objectif"/>
    <w:p>
      <w:pPr>
        <w:pStyle w:val="Heading1"/>
      </w:pPr>
      <w:r>
        <w:t xml:space="preserve">1. Objectif</w:t>
      </w:r>
    </w:p>
    <w:p>
      <w:pPr>
        <w:pStyle w:val="FirstParagraph"/>
      </w:pPr>
      <w:r>
        <w:t xml:space="preserve">La V2 rend l’exploitation suffisamment robuste pour un voyage d’un an :</w:t>
      </w:r>
      <w:r>
        <w:t xml:space="preserve"> </w:t>
      </w:r>
      <w:r>
        <w:t xml:space="preserve">détection des pannes, restauration claire, changements contrôlés et</w:t>
      </w:r>
      <w:r>
        <w:t xml:space="preserve"> </w:t>
      </w:r>
      <w:r>
        <w:t xml:space="preserve">visibilité à distance.</w:t>
      </w:r>
    </w:p>
    <w:p>
      <w:pPr>
        <w:pStyle w:val="BodyText"/>
      </w:pPr>
      <w:r>
        <w:t xml:space="preserve">Elle reste centrée sur le VPS et le domaine personnel. La robustesse se</w:t>
      </w:r>
      <w:r>
        <w:t xml:space="preserve"> </w:t>
      </w:r>
      <w:r>
        <w:t xml:space="preserve">gagne par des procédures, sauvegardes, alertes et tests de restauration,</w:t>
      </w:r>
      <w:r>
        <w:t xml:space="preserve"> </w:t>
      </w:r>
      <w:r>
        <w:t xml:space="preserve">pas par une migration automatique vers une plateforme cloud complexe.</w:t>
      </w:r>
    </w:p>
    <w:bookmarkEnd w:id="9"/>
    <w:bookmarkStart w:id="10" w:name="environnements"/>
    <w:p>
      <w:pPr>
        <w:pStyle w:val="Heading1"/>
      </w:pPr>
      <w:r>
        <w:t xml:space="preserve">2. Environnements</w:t>
      </w:r>
    </w:p>
    <w:p>
      <w:pPr>
        <w:numPr>
          <w:ilvl w:val="0"/>
          <w:numId w:val="1001"/>
        </w:numPr>
      </w:pPr>
      <w:r>
        <w:t xml:space="preserve">Development.</w:t>
      </w:r>
    </w:p>
    <w:p>
      <w:pPr>
        <w:numPr>
          <w:ilvl w:val="0"/>
          <w:numId w:val="1001"/>
        </w:numPr>
      </w:pPr>
      <w:r>
        <w:t xml:space="preserve">Staging proche de la production.</w:t>
      </w:r>
    </w:p>
    <w:p>
      <w:pPr>
        <w:numPr>
          <w:ilvl w:val="0"/>
          <w:numId w:val="1001"/>
        </w:numPr>
      </w:pPr>
      <w:r>
        <w:t xml:space="preserve">Production.</w:t>
      </w:r>
    </w:p>
    <w:bookmarkEnd w:id="10"/>
    <w:bookmarkStart w:id="11" w:name="cicd"/>
    <w:p>
      <w:pPr>
        <w:pStyle w:val="Heading1"/>
      </w:pPr>
      <w:r>
        <w:t xml:space="preserve">3. CI/CD</w:t>
      </w:r>
    </w:p>
    <w:p>
      <w:pPr>
        <w:pStyle w:val="BlockText"/>
      </w:pPr>
      <w:r>
        <w:t xml:space="preserve">push → lint/tests → build → staging → smoke tests → production</w:t>
      </w:r>
    </w:p>
    <w:bookmarkEnd w:id="11"/>
    <w:bookmarkStart w:id="12" w:name="monitoring"/>
    <w:p>
      <w:pPr>
        <w:pStyle w:val="Heading1"/>
      </w:pPr>
      <w:r>
        <w:t xml:space="preserve">4. Monitoring</w:t>
      </w:r>
    </w:p>
    <w:p>
      <w:pPr>
        <w:numPr>
          <w:ilvl w:val="0"/>
          <w:numId w:val="1002"/>
        </w:numPr>
      </w:pPr>
      <w:r>
        <w:t xml:space="preserve">Uptime API et web.</w:t>
      </w:r>
    </w:p>
    <w:p>
      <w:pPr>
        <w:numPr>
          <w:ilvl w:val="0"/>
          <w:numId w:val="1002"/>
        </w:numPr>
      </w:pPr>
      <w:r>
        <w:t xml:space="preserve">CPU/mémoire/disque.</w:t>
      </w:r>
    </w:p>
    <w:p>
      <w:pPr>
        <w:numPr>
          <w:ilvl w:val="0"/>
          <w:numId w:val="1002"/>
        </w:numPr>
      </w:pPr>
      <w:r>
        <w:t xml:space="preserve">Connexions DB.</w:t>
      </w:r>
    </w:p>
    <w:p>
      <w:pPr>
        <w:numPr>
          <w:ilvl w:val="0"/>
          <w:numId w:val="1002"/>
        </w:numPr>
      </w:pPr>
      <w:r>
        <w:t xml:space="preserve">Taux 5xx.</w:t>
      </w:r>
    </w:p>
    <w:p>
      <w:pPr>
        <w:numPr>
          <w:ilvl w:val="0"/>
          <w:numId w:val="1002"/>
        </w:numPr>
      </w:pPr>
      <w:r>
        <w:t xml:space="preserve">Latence API.</w:t>
      </w:r>
    </w:p>
    <w:p>
      <w:pPr>
        <w:numPr>
          <w:ilvl w:val="0"/>
          <w:numId w:val="1002"/>
        </w:numPr>
      </w:pPr>
      <w:r>
        <w:t xml:space="preserve">Âge de la dernière position reçue.</w:t>
      </w:r>
    </w:p>
    <w:p>
      <w:pPr>
        <w:numPr>
          <w:ilvl w:val="0"/>
          <w:numId w:val="1002"/>
        </w:numPr>
      </w:pPr>
      <w:r>
        <w:t xml:space="preserve">Âge du dernier heartbeat.</w:t>
      </w:r>
    </w:p>
    <w:bookmarkEnd w:id="12"/>
    <w:bookmarkStart w:id="13" w:name="alertes"/>
    <w:p>
      <w:pPr>
        <w:pStyle w:val="Heading1"/>
      </w:pPr>
      <w:r>
        <w:t xml:space="preserve">5. Alertes</w:t>
      </w:r>
    </w:p>
    <w:p>
      <w:pPr>
        <w:numPr>
          <w:ilvl w:val="0"/>
          <w:numId w:val="1003"/>
        </w:numPr>
      </w:pPr>
      <w:r>
        <w:t xml:space="preserve">API down.</w:t>
      </w:r>
    </w:p>
    <w:p>
      <w:pPr>
        <w:numPr>
          <w:ilvl w:val="0"/>
          <w:numId w:val="1003"/>
        </w:numPr>
      </w:pPr>
      <w:r>
        <w:t xml:space="preserve">DB inaccessible.</w:t>
      </w:r>
    </w:p>
    <w:p>
      <w:pPr>
        <w:numPr>
          <w:ilvl w:val="0"/>
          <w:numId w:val="1003"/>
        </w:numPr>
      </w:pPr>
      <w:r>
        <w:t xml:space="preserve">Disque presque plein.</w:t>
      </w:r>
    </w:p>
    <w:p>
      <w:pPr>
        <w:numPr>
          <w:ilvl w:val="0"/>
          <w:numId w:val="1003"/>
        </w:numPr>
      </w:pPr>
      <w:r>
        <w:t xml:space="preserve">Backup en échec.</w:t>
      </w:r>
    </w:p>
    <w:p>
      <w:pPr>
        <w:numPr>
          <w:ilvl w:val="0"/>
          <w:numId w:val="1003"/>
        </w:numPr>
      </w:pPr>
      <w:r>
        <w:t xml:space="preserve">Aucune position pendant une durée configurable.</w:t>
      </w:r>
    </w:p>
    <w:p>
      <w:pPr>
        <w:pStyle w:val="FirstParagraph"/>
      </w:pPr>
      <w:r>
        <w:t xml:space="preserve">Les alertes peuvent sortir du VPS, mais elles ne doivent pas contenir de</w:t>
      </w:r>
      <w:r>
        <w:t xml:space="preserve"> </w:t>
      </w:r>
      <w:r>
        <w:t xml:space="preserve">coordonnées précises. Un message du type “aucune position depuis X</w:t>
      </w:r>
      <w:r>
        <w:t xml:space="preserve"> </w:t>
      </w:r>
      <w:r>
        <w:t xml:space="preserve">heures” suffit.</w:t>
      </w:r>
    </w:p>
    <w:bookmarkEnd w:id="13"/>
    <w:bookmarkStart w:id="14" w:name="sauvegarde-et-reprise"/>
    <w:p>
      <w:pPr>
        <w:pStyle w:val="Heading1"/>
      </w:pPr>
      <w:r>
        <w:t xml:space="preserve">6. Sauvegarde et reprise</w:t>
      </w:r>
    </w:p>
    <w:p>
      <w:pPr>
        <w:numPr>
          <w:ilvl w:val="0"/>
          <w:numId w:val="1004"/>
        </w:numPr>
      </w:pPr>
      <w:r>
        <w:t xml:space="preserve">Backups quotidiens + hebdomadaires + mensuels selon budget.</w:t>
      </w:r>
    </w:p>
    <w:p>
      <w:pPr>
        <w:numPr>
          <w:ilvl w:val="0"/>
          <w:numId w:val="1004"/>
        </w:numPr>
      </w:pPr>
      <w:r>
        <w:t xml:space="preserve">Stockage externe chiffré.</w:t>
      </w:r>
    </w:p>
    <w:p>
      <w:pPr>
        <w:numPr>
          <w:ilvl w:val="0"/>
          <w:numId w:val="1004"/>
        </w:numPr>
      </w:pPr>
      <w:r>
        <w:t xml:space="preserve">Procédure de restauration écrite.</w:t>
      </w:r>
    </w:p>
    <w:p>
      <w:pPr>
        <w:numPr>
          <w:ilvl w:val="0"/>
          <w:numId w:val="1004"/>
        </w:numPr>
      </w:pPr>
      <w:r>
        <w:t xml:space="preserve">Exercice de restauration périodique.</w:t>
      </w:r>
    </w:p>
    <w:p>
      <w:pPr>
        <w:numPr>
          <w:ilvl w:val="0"/>
          <w:numId w:val="1004"/>
        </w:numPr>
      </w:pPr>
      <w:r>
        <w:t xml:space="preserve">Objectifs RPO/RTO explicités.</w:t>
      </w:r>
    </w:p>
    <w:bookmarkEnd w:id="14"/>
    <w:bookmarkStart w:id="15" w:name="sécurité-opérationnelle"/>
    <w:p>
      <w:pPr>
        <w:pStyle w:val="Heading1"/>
      </w:pPr>
      <w:r>
        <w:t xml:space="preserve">7. Sécurité opérationnelle</w:t>
      </w:r>
    </w:p>
    <w:p>
      <w:pPr>
        <w:numPr>
          <w:ilvl w:val="0"/>
          <w:numId w:val="1005"/>
        </w:numPr>
      </w:pPr>
      <w:r>
        <w:t xml:space="preserve">SSH par clé.</w:t>
      </w:r>
    </w:p>
    <w:p>
      <w:pPr>
        <w:numPr>
          <w:ilvl w:val="0"/>
          <w:numId w:val="1005"/>
        </w:numPr>
      </w:pPr>
      <w:r>
        <w:t xml:space="preserve">Pare-feu minimal.</w:t>
      </w:r>
    </w:p>
    <w:p>
      <w:pPr>
        <w:numPr>
          <w:ilvl w:val="0"/>
          <w:numId w:val="1005"/>
        </w:numPr>
      </w:pPr>
      <w:r>
        <w:t xml:space="preserve">Mises à jour de sécurité.</w:t>
      </w:r>
    </w:p>
    <w:p>
      <w:pPr>
        <w:numPr>
          <w:ilvl w:val="0"/>
          <w:numId w:val="1005"/>
        </w:numPr>
      </w:pPr>
      <w:r>
        <w:t xml:space="preserve">Rotation des tokens appareil si compromis.</w:t>
      </w:r>
    </w:p>
    <w:p>
      <w:pPr>
        <w:numPr>
          <w:ilvl w:val="0"/>
          <w:numId w:val="1005"/>
        </w:numPr>
      </w:pPr>
      <w:r>
        <w:t xml:space="preserve">Accès admin séparé de l’accès public.</w:t>
      </w:r>
    </w:p>
    <w:p>
      <w:pPr>
        <w:numPr>
          <w:ilvl w:val="0"/>
          <w:numId w:val="1005"/>
        </w:numPr>
      </w:pPr>
      <w:r>
        <w:t xml:space="preserve">Pas de stockage de secrets dans le dépôt.</w:t>
      </w:r>
    </w:p>
    <w:p>
      <w:pPr>
        <w:numPr>
          <w:ilvl w:val="0"/>
          <w:numId w:val="1005"/>
        </w:numPr>
      </w:pPr>
      <w:r>
        <w:t xml:space="preserve">Sauvegardes exportées hors VPS chiffrées.</w:t>
      </w:r>
    </w:p>
    <w:p>
      <w:pPr>
        <w:numPr>
          <w:ilvl w:val="0"/>
          <w:numId w:val="1005"/>
        </w:numPr>
      </w:pPr>
      <w:r>
        <w:t xml:space="preserve">Rotation documentée des secrets si une valeur est accidentellement</w:t>
      </w:r>
      <w:r>
        <w:t xml:space="preserve"> </w:t>
      </w:r>
      <w:r>
        <w:t xml:space="preserve">publiée dans GitHub.</w:t>
      </w:r>
    </w:p>
    <w:bookmarkEnd w:id="15"/>
    <w:bookmarkStart w:id="16" w:name="compatibilité-poc"/>
    <w:p>
      <w:pPr>
        <w:pStyle w:val="Heading1"/>
      </w:pPr>
      <w:r>
        <w:t xml:space="preserve">8. Compatibilité POC</w:t>
      </w:r>
    </w:p>
    <w:p>
      <w:pPr>
        <w:pStyle w:val="FirstParagraph"/>
      </w:pPr>
      <w:r>
        <w:t xml:space="preserve">La V2 peut reprendre exactement les mêmes conteneurs et services. On</w:t>
      </w:r>
      <w:r>
        <w:t xml:space="preserve"> </w:t>
      </w:r>
      <w:r>
        <w:t xml:space="preserve">ajoute staging, observabilité, alerting et automatisation autour de</w:t>
      </w:r>
      <w:r>
        <w:t xml:space="preserve"> </w:t>
      </w:r>
      <w:r>
        <w:t xml:space="preserve">l’architecture POC plutôt que de migrer vers Kubernetes ou des</w:t>
      </w:r>
      <w:r>
        <w:t xml:space="preserve"> </w:t>
      </w:r>
      <w:r>
        <w:t xml:space="preserve">microservices.</w:t>
      </w:r>
    </w:p>
    <w:bookmarkEnd w:id="16"/>
    <w:bookmarkStart w:id="17" w:name="limites-explicites"/>
    <w:p>
      <w:pPr>
        <w:pStyle w:val="Heading1"/>
      </w:pPr>
      <w:r>
        <w:t xml:space="preserve">9. Limites explicites</w:t>
      </w:r>
    </w:p>
    <w:p>
      <w:pPr>
        <w:pStyle w:val="FirstParagraph"/>
      </w:pPr>
      <w:r>
        <w:t xml:space="preserve">Ne pas introduire Kubernetes, data warehouse, service d’analytics, outil</w:t>
      </w:r>
      <w:r>
        <w:t xml:space="preserve"> </w:t>
      </w:r>
      <w:r>
        <w:t xml:space="preserve">de session replay, CDN pour données privées ou monitoring SaaS contenant</w:t>
      </w:r>
      <w:r>
        <w:t xml:space="preserve"> </w:t>
      </w:r>
      <w:r>
        <w:t xml:space="preserve">des payloads de localisation sans incident réel qui le justifie.</w:t>
      </w:r>
    </w:p>
    <w:p>
      <w:pPr>
        <w:pStyle w:val="BodyText"/>
      </w:pPr>
      <w:r>
        <w:t xml:space="preserve">Ne pas utiliser GitHub public comme stockage d’artefacts privés :</w:t>
      </w:r>
      <w:r>
        <w:t xml:space="preserve"> </w:t>
      </w:r>
      <w:r>
        <w:t xml:space="preserve">backups, exports GPS, APK release signés, captures contenant des liens</w:t>
      </w:r>
      <w:r>
        <w:t xml:space="preserve"> </w:t>
      </w:r>
      <w:r>
        <w:t xml:space="preserve">privés et fichiers d’environnement réels restent hors dépôt.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2026-08-18T18:39:53Z</dcterms:created>
  <dcterms:modified xsi:type="dcterms:W3CDTF">2026-08-18T18:39:53Z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