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olítica-de-home-office"/>
    <w:p>
      <w:pPr>
        <w:pStyle w:val="Heading1"/>
      </w:pPr>
      <w:r>
        <w:t xml:space="preserve">Política de Home Office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24/01/2026</w:t>
      </w:r>
      <w:r>
        <w:br/>
      </w:r>
      <w:r>
        <w:rPr>
          <w:b/>
          <w:bCs/>
        </w:rPr>
        <w:t xml:space="preserve">Área:</w:t>
      </w:r>
      <w:r>
        <w:t xml:space="preserve"> </w:t>
      </w:r>
      <w:r>
        <w:t xml:space="preserve">Recursos Humanos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 política estabelece as diretrizes para o trabalho remoto (home office) na empresa, garantindo produtividade, bem-estar e conformidade com a legislação trabalhista.</w:t>
      </w:r>
    </w:p>
    <w:p>
      <w:r>
        <w:pict>
          <v:rect style="width:0;height:1.5pt" o:hralign="center" o:hrstd="t" o:hr="t"/>
        </w:pict>
      </w:r>
    </w:p>
    <w:bookmarkEnd w:id="9"/>
    <w:bookmarkStart w:id="10" w:name="abrangência"/>
    <w:p>
      <w:pPr>
        <w:pStyle w:val="Heading2"/>
      </w:pPr>
      <w:r>
        <w:t xml:space="preserve">2. Abrangência</w:t>
      </w:r>
    </w:p>
    <w:p>
      <w:pPr>
        <w:pStyle w:val="FirstParagraph"/>
      </w:pPr>
      <w:r>
        <w:t xml:space="preserve">Esta política aplica-se a todos os colaboradores elegíveis para trabalho remoto, conforme critérios definidos pela liderança e RH.</w:t>
      </w:r>
    </w:p>
    <w:p>
      <w:r>
        <w:pict>
          <v:rect style="width:0;height:1.5pt" o:hralign="center" o:hrstd="t" o:hr="t"/>
        </w:pict>
      </w:r>
    </w:p>
    <w:bookmarkEnd w:id="10"/>
    <w:bookmarkStart w:id="14" w:name="modalidades-de-home-office"/>
    <w:p>
      <w:pPr>
        <w:pStyle w:val="Heading2"/>
      </w:pPr>
      <w:r>
        <w:t xml:space="preserve">3. Modalidades de Home Office</w:t>
      </w:r>
    </w:p>
    <w:bookmarkStart w:id="11" w:name="home-office-integral"/>
    <w:p>
      <w:pPr>
        <w:pStyle w:val="Heading3"/>
      </w:pPr>
      <w:r>
        <w:t xml:space="preserve">3.1 Home Office Integral</w:t>
      </w:r>
    </w:p>
    <w:p>
      <w:pPr>
        <w:pStyle w:val="Compact"/>
        <w:numPr>
          <w:ilvl w:val="0"/>
          <w:numId w:val="1001"/>
        </w:numPr>
      </w:pPr>
      <w:r>
        <w:t xml:space="preserve">Trabalho 100% remoto</w:t>
      </w:r>
    </w:p>
    <w:p>
      <w:pPr>
        <w:pStyle w:val="Compact"/>
        <w:numPr>
          <w:ilvl w:val="0"/>
          <w:numId w:val="1001"/>
        </w:numPr>
      </w:pPr>
      <w:r>
        <w:t xml:space="preserve">Colaborador não possui estação de trabalho fixa no escritório</w:t>
      </w:r>
    </w:p>
    <w:p>
      <w:pPr>
        <w:pStyle w:val="Compact"/>
        <w:numPr>
          <w:ilvl w:val="0"/>
          <w:numId w:val="1001"/>
        </w:numPr>
      </w:pPr>
      <w:r>
        <w:t xml:space="preserve">Sujeito a aprovação da liderança</w:t>
      </w:r>
    </w:p>
    <w:bookmarkEnd w:id="11"/>
    <w:bookmarkStart w:id="12" w:name="home-office-híbrido"/>
    <w:p>
      <w:pPr>
        <w:pStyle w:val="Heading3"/>
      </w:pPr>
      <w:r>
        <w:t xml:space="preserve">3.2 Home Office Híbrido</w:t>
      </w:r>
    </w:p>
    <w:p>
      <w:pPr>
        <w:pStyle w:val="Compact"/>
        <w:numPr>
          <w:ilvl w:val="0"/>
          <w:numId w:val="1002"/>
        </w:numPr>
      </w:pPr>
      <w:r>
        <w:t xml:space="preserve">Combinação de dias presenciais e remotos</w:t>
      </w:r>
    </w:p>
    <w:p>
      <w:pPr>
        <w:pStyle w:val="Compact"/>
        <w:numPr>
          <w:ilvl w:val="0"/>
          <w:numId w:val="1002"/>
        </w:numPr>
      </w:pPr>
      <w:r>
        <w:t xml:space="preserve">Mínimo de 2 dias presenciais por semana (padrão)</w:t>
      </w:r>
    </w:p>
    <w:p>
      <w:pPr>
        <w:pStyle w:val="Compact"/>
        <w:numPr>
          <w:ilvl w:val="0"/>
          <w:numId w:val="1002"/>
        </w:numPr>
      </w:pPr>
      <w:r>
        <w:t xml:space="preserve">Flexibilidade conforme necessidade da área</w:t>
      </w:r>
    </w:p>
    <w:bookmarkEnd w:id="12"/>
    <w:bookmarkStart w:id="13" w:name="home-office-eventual"/>
    <w:p>
      <w:pPr>
        <w:pStyle w:val="Heading3"/>
      </w:pPr>
      <w:r>
        <w:t xml:space="preserve">3.3 Home Office Eventual</w:t>
      </w:r>
    </w:p>
    <w:p>
      <w:pPr>
        <w:pStyle w:val="Compact"/>
        <w:numPr>
          <w:ilvl w:val="0"/>
          <w:numId w:val="1003"/>
        </w:numPr>
      </w:pPr>
      <w:r>
        <w:t xml:space="preserve">Situações pontuais (compromissos pessoais, condições climáticas, etc.)</w:t>
      </w:r>
    </w:p>
    <w:p>
      <w:pPr>
        <w:pStyle w:val="Compact"/>
        <w:numPr>
          <w:ilvl w:val="0"/>
          <w:numId w:val="1003"/>
        </w:numPr>
      </w:pPr>
      <w:r>
        <w:t xml:space="preserve">Aprovação prévia da liderança imediata</w:t>
      </w:r>
    </w:p>
    <w:p>
      <w:pPr>
        <w:pStyle w:val="Compact"/>
        <w:numPr>
          <w:ilvl w:val="0"/>
          <w:numId w:val="1003"/>
        </w:numPr>
      </w:pPr>
      <w:r>
        <w:t xml:space="preserve">Limitado a 2 dias por mês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legibilidade"/>
    <w:p>
      <w:pPr>
        <w:pStyle w:val="Heading2"/>
      </w:pPr>
      <w:r>
        <w:t xml:space="preserve">4. Elegibilidade</w:t>
      </w:r>
    </w:p>
    <w:p>
      <w:pPr>
        <w:pStyle w:val="FirstParagraph"/>
      </w:pPr>
      <w:r>
        <w:t xml:space="preserve">São elegíveis para home office colaboradores que:</w:t>
      </w:r>
      <w:r>
        <w:t xml:space="preserve"> </w:t>
      </w:r>
      <w:r>
        <w:t xml:space="preserve">- Tenham concluído período de experiência (90 dias)</w:t>
      </w:r>
      <w:r>
        <w:t xml:space="preserve"> </w:t>
      </w:r>
      <w:r>
        <w:t xml:space="preserve">- Possuam autonomia e maturidade profissional</w:t>
      </w:r>
      <w:r>
        <w:t xml:space="preserve"> </w:t>
      </w:r>
      <w:r>
        <w:t xml:space="preserve">- Tenham função compatível com trabalho remoto</w:t>
      </w:r>
      <w:r>
        <w:t xml:space="preserve"> </w:t>
      </w:r>
      <w:r>
        <w:t xml:space="preserve">- Tenham avaliação de desempenho satisfatória</w:t>
      </w:r>
    </w:p>
    <w:p>
      <w:r>
        <w:pict>
          <v:rect style="width:0;height:1.5pt" o:hralign="center" o:hrstd="t" o:hr="t"/>
        </w:pict>
      </w:r>
    </w:p>
    <w:bookmarkEnd w:id="15"/>
    <w:bookmarkStart w:id="18" w:name="infraestrutura-e-equipamentos"/>
    <w:p>
      <w:pPr>
        <w:pStyle w:val="Heading2"/>
      </w:pPr>
      <w:r>
        <w:t xml:space="preserve">5. Infraestrutura e Equipamentos</w:t>
      </w:r>
    </w:p>
    <w:bookmarkStart w:id="16" w:name="responsabilidade-da-empresa"/>
    <w:p>
      <w:pPr>
        <w:pStyle w:val="Heading3"/>
      </w:pPr>
      <w:r>
        <w:t xml:space="preserve">5.1 Responsabilidade da Empresa</w:t>
      </w:r>
    </w:p>
    <w:p>
      <w:pPr>
        <w:pStyle w:val="Compact"/>
        <w:numPr>
          <w:ilvl w:val="0"/>
          <w:numId w:val="1004"/>
        </w:numPr>
      </w:pPr>
      <w:r>
        <w:t xml:space="preserve">Notebook ou computador</w:t>
      </w:r>
    </w:p>
    <w:p>
      <w:pPr>
        <w:pStyle w:val="Compact"/>
        <w:numPr>
          <w:ilvl w:val="0"/>
          <w:numId w:val="1004"/>
        </w:numPr>
      </w:pPr>
      <w:r>
        <w:t xml:space="preserve">Acesso VPN e sistemas corporativos</w:t>
      </w:r>
    </w:p>
    <w:p>
      <w:pPr>
        <w:pStyle w:val="Compact"/>
        <w:numPr>
          <w:ilvl w:val="0"/>
          <w:numId w:val="1004"/>
        </w:numPr>
      </w:pPr>
      <w:r>
        <w:t xml:space="preserve">Licenças de software necessárias</w:t>
      </w:r>
    </w:p>
    <w:p>
      <w:pPr>
        <w:pStyle w:val="Compact"/>
        <w:numPr>
          <w:ilvl w:val="0"/>
          <w:numId w:val="1004"/>
        </w:numPr>
      </w:pPr>
      <w:r>
        <w:t xml:space="preserve">Suporte técnico remoto</w:t>
      </w:r>
    </w:p>
    <w:bookmarkEnd w:id="16"/>
    <w:bookmarkStart w:id="17" w:name="responsabilidade-do-colaborador"/>
    <w:p>
      <w:pPr>
        <w:pStyle w:val="Heading3"/>
      </w:pPr>
      <w:r>
        <w:t xml:space="preserve">5.2 Responsabilidade do Colaborador</w:t>
      </w:r>
    </w:p>
    <w:p>
      <w:pPr>
        <w:pStyle w:val="Compact"/>
        <w:numPr>
          <w:ilvl w:val="0"/>
          <w:numId w:val="1005"/>
        </w:numPr>
      </w:pPr>
      <w:r>
        <w:t xml:space="preserve">Conexão de internet estável (mínimo 10 Mbps)</w:t>
      </w:r>
    </w:p>
    <w:p>
      <w:pPr>
        <w:pStyle w:val="Compact"/>
        <w:numPr>
          <w:ilvl w:val="0"/>
          <w:numId w:val="1005"/>
        </w:numPr>
      </w:pPr>
      <w:r>
        <w:t xml:space="preserve">Espaço adequado para trabalho</w:t>
      </w:r>
    </w:p>
    <w:p>
      <w:pPr>
        <w:pStyle w:val="Compact"/>
        <w:numPr>
          <w:ilvl w:val="0"/>
          <w:numId w:val="1005"/>
        </w:numPr>
      </w:pPr>
      <w:r>
        <w:t xml:space="preserve">Cadeira e mesa ergonômicas</w:t>
      </w:r>
    </w:p>
    <w:p>
      <w:pPr>
        <w:pStyle w:val="Compact"/>
        <w:numPr>
          <w:ilvl w:val="0"/>
          <w:numId w:val="1005"/>
        </w:numPr>
      </w:pPr>
      <w:r>
        <w:t xml:space="preserve">Ambiente silencioso e profissional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jornada-de-trabalho"/>
    <w:p>
      <w:pPr>
        <w:pStyle w:val="Heading2"/>
      </w:pPr>
      <w:r>
        <w:t xml:space="preserve">6. Jornada de Trabalho</w:t>
      </w:r>
    </w:p>
    <w:bookmarkStart w:id="19" w:name="horário"/>
    <w:p>
      <w:pPr>
        <w:pStyle w:val="Heading3"/>
      </w:pPr>
      <w:r>
        <w:t xml:space="preserve">6.1 Horário</w:t>
      </w:r>
    </w:p>
    <w:p>
      <w:pPr>
        <w:pStyle w:val="Compact"/>
        <w:numPr>
          <w:ilvl w:val="0"/>
          <w:numId w:val="1006"/>
        </w:numPr>
      </w:pPr>
      <w:r>
        <w:t xml:space="preserve">Mesma jornada do trabalho presencial</w:t>
      </w:r>
    </w:p>
    <w:p>
      <w:pPr>
        <w:pStyle w:val="Compact"/>
        <w:numPr>
          <w:ilvl w:val="0"/>
          <w:numId w:val="1006"/>
        </w:numPr>
      </w:pPr>
      <w:r>
        <w:t xml:space="preserve">Horário flexível mediante acordo com liderança</w:t>
      </w:r>
    </w:p>
    <w:p>
      <w:pPr>
        <w:pStyle w:val="Compact"/>
        <w:numPr>
          <w:ilvl w:val="0"/>
          <w:numId w:val="1006"/>
        </w:numPr>
      </w:pPr>
      <w:r>
        <w:t xml:space="preserve">Disponibilidade durante horário comercial (9h-18h)</w:t>
      </w:r>
    </w:p>
    <w:bookmarkEnd w:id="19"/>
    <w:bookmarkStart w:id="20" w:name="controle-de-ponto"/>
    <w:p>
      <w:pPr>
        <w:pStyle w:val="Heading3"/>
      </w:pPr>
      <w:r>
        <w:t xml:space="preserve">6.2 Controle de Ponto</w:t>
      </w:r>
    </w:p>
    <w:p>
      <w:pPr>
        <w:pStyle w:val="Compact"/>
        <w:numPr>
          <w:ilvl w:val="0"/>
          <w:numId w:val="1007"/>
        </w:numPr>
      </w:pPr>
      <w:r>
        <w:t xml:space="preserve">Registro de ponto eletrônico obrigatório</w:t>
      </w:r>
    </w:p>
    <w:p>
      <w:pPr>
        <w:pStyle w:val="Compact"/>
        <w:numPr>
          <w:ilvl w:val="0"/>
          <w:numId w:val="1007"/>
        </w:numPr>
      </w:pPr>
      <w:r>
        <w:t xml:space="preserve">Pausas e intervalos conforme legislação</w:t>
      </w:r>
    </w:p>
    <w:p>
      <w:pPr>
        <w:pStyle w:val="Compact"/>
        <w:numPr>
          <w:ilvl w:val="0"/>
          <w:numId w:val="1007"/>
        </w:numPr>
      </w:pPr>
      <w:r>
        <w:t xml:space="preserve">Horas extras devem ser pré-aprovadas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unicação-e-disponibilidade"/>
    <w:p>
      <w:pPr>
        <w:pStyle w:val="Heading2"/>
      </w:pPr>
      <w:r>
        <w:t xml:space="preserve">7. Comunicação e Disponibilidade</w:t>
      </w:r>
    </w:p>
    <w:bookmarkStart w:id="22" w:name="ferramentas-obrigatórias"/>
    <w:p>
      <w:pPr>
        <w:pStyle w:val="Heading3"/>
      </w:pPr>
      <w:r>
        <w:t xml:space="preserve">7.1 Ferramentas Obrigatórias</w:t>
      </w:r>
    </w:p>
    <w:p>
      <w:pPr>
        <w:pStyle w:val="Compact"/>
        <w:numPr>
          <w:ilvl w:val="0"/>
          <w:numId w:val="1008"/>
        </w:numPr>
      </w:pPr>
      <w:r>
        <w:t xml:space="preserve">Email corporativo (resposta em até 2 horas)</w:t>
      </w:r>
    </w:p>
    <w:p>
      <w:pPr>
        <w:pStyle w:val="Compact"/>
        <w:numPr>
          <w:ilvl w:val="0"/>
          <w:numId w:val="1008"/>
        </w:numPr>
      </w:pPr>
      <w:r>
        <w:t xml:space="preserve">Microsoft Teams (status</w:t>
      </w:r>
      <w:r>
        <w:t xml:space="preserve"> </w:t>
      </w:r>
      <w:r>
        <w:t xml:space="preserve">“Disponível”</w:t>
      </w:r>
      <w:r>
        <w:t xml:space="preserve"> </w:t>
      </w:r>
      <w:r>
        <w:t xml:space="preserve">durante expediente)</w:t>
      </w:r>
    </w:p>
    <w:p>
      <w:pPr>
        <w:pStyle w:val="Compact"/>
        <w:numPr>
          <w:ilvl w:val="0"/>
          <w:numId w:val="1008"/>
        </w:numPr>
      </w:pPr>
      <w:r>
        <w:t xml:space="preserve">Telefone corporativo ou pessoal disponível</w:t>
      </w:r>
    </w:p>
    <w:bookmarkEnd w:id="22"/>
    <w:bookmarkStart w:id="23" w:name="reuniões"/>
    <w:p>
      <w:pPr>
        <w:pStyle w:val="Heading3"/>
      </w:pPr>
      <w:r>
        <w:t xml:space="preserve">7.2 Reuniões</w:t>
      </w:r>
    </w:p>
    <w:p>
      <w:pPr>
        <w:pStyle w:val="Compact"/>
        <w:numPr>
          <w:ilvl w:val="0"/>
          <w:numId w:val="1009"/>
        </w:numPr>
      </w:pPr>
      <w:r>
        <w:t xml:space="preserve">Câmera ligada em reuniões com clientes e liderança</w:t>
      </w:r>
    </w:p>
    <w:p>
      <w:pPr>
        <w:pStyle w:val="Compact"/>
        <w:numPr>
          <w:ilvl w:val="0"/>
          <w:numId w:val="1009"/>
        </w:numPr>
      </w:pPr>
      <w:r>
        <w:t xml:space="preserve">Pontualidade obrigatória</w:t>
      </w:r>
    </w:p>
    <w:p>
      <w:pPr>
        <w:pStyle w:val="Compact"/>
        <w:numPr>
          <w:ilvl w:val="0"/>
          <w:numId w:val="1009"/>
        </w:numPr>
      </w:pPr>
      <w:r>
        <w:t xml:space="preserve">Ambiente profissional e silencioso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gurança-da-informação"/>
    <w:p>
      <w:pPr>
        <w:pStyle w:val="Heading2"/>
      </w:pPr>
      <w:r>
        <w:t xml:space="preserve">8. Segurança da Informação</w:t>
      </w:r>
    </w:p>
    <w:bookmarkStart w:id="25" w:name="obrigações"/>
    <w:p>
      <w:pPr>
        <w:pStyle w:val="Heading3"/>
      </w:pPr>
      <w:r>
        <w:t xml:space="preserve">8.1 Obrigações</w:t>
      </w:r>
    </w:p>
    <w:p>
      <w:pPr>
        <w:pStyle w:val="Compact"/>
        <w:numPr>
          <w:ilvl w:val="0"/>
          <w:numId w:val="1010"/>
        </w:numPr>
      </w:pPr>
      <w:r>
        <w:t xml:space="preserve">Uso de VPN para acesso a sistemas corporativos</w:t>
      </w:r>
    </w:p>
    <w:p>
      <w:pPr>
        <w:pStyle w:val="Compact"/>
        <w:numPr>
          <w:ilvl w:val="0"/>
          <w:numId w:val="1010"/>
        </w:numPr>
      </w:pPr>
      <w:r>
        <w:t xml:space="preserve">Não compartilhar credenciais de acesso</w:t>
      </w:r>
    </w:p>
    <w:p>
      <w:pPr>
        <w:pStyle w:val="Compact"/>
        <w:numPr>
          <w:ilvl w:val="0"/>
          <w:numId w:val="1010"/>
        </w:numPr>
      </w:pPr>
      <w:r>
        <w:t xml:space="preserve">Não trabalhar em locais públicos (cafés, coworkings não autorizados)</w:t>
      </w:r>
    </w:p>
    <w:p>
      <w:pPr>
        <w:pStyle w:val="Compact"/>
        <w:numPr>
          <w:ilvl w:val="0"/>
          <w:numId w:val="1010"/>
        </w:numPr>
      </w:pPr>
      <w:r>
        <w:t xml:space="preserve">Manter antivírus e sistema operacional atualizados</w:t>
      </w:r>
    </w:p>
    <w:bookmarkEnd w:id="25"/>
    <w:bookmarkStart w:id="26" w:name="confidencialidade"/>
    <w:p>
      <w:pPr>
        <w:pStyle w:val="Heading3"/>
      </w:pPr>
      <w:r>
        <w:t xml:space="preserve">8.2 Confidencialidade</w:t>
      </w:r>
    </w:p>
    <w:p>
      <w:pPr>
        <w:pStyle w:val="Compact"/>
        <w:numPr>
          <w:ilvl w:val="0"/>
          <w:numId w:val="1011"/>
        </w:numPr>
      </w:pPr>
      <w:r>
        <w:t xml:space="preserve">Não discutir assuntos confidenciais em ambientes compartilhados</w:t>
      </w:r>
    </w:p>
    <w:p>
      <w:pPr>
        <w:pStyle w:val="Compact"/>
        <w:numPr>
          <w:ilvl w:val="0"/>
          <w:numId w:val="1011"/>
        </w:numPr>
      </w:pPr>
      <w:r>
        <w:t xml:space="preserve">Bloquear tela ao se ausentar</w:t>
      </w:r>
    </w:p>
    <w:p>
      <w:pPr>
        <w:pStyle w:val="Compact"/>
        <w:numPr>
          <w:ilvl w:val="0"/>
          <w:numId w:val="1011"/>
        </w:numPr>
      </w:pPr>
      <w:r>
        <w:t xml:space="preserve">Não permitir acesso de terceiros aos equipamentos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odutividade-e-entregas"/>
    <w:p>
      <w:pPr>
        <w:pStyle w:val="Heading2"/>
      </w:pPr>
      <w:r>
        <w:t xml:space="preserve">9. Produtividade e Entregas</w:t>
      </w:r>
    </w:p>
    <w:bookmarkStart w:id="28" w:name="expectativas"/>
    <w:p>
      <w:pPr>
        <w:pStyle w:val="Heading3"/>
      </w:pPr>
      <w:r>
        <w:t xml:space="preserve">9.1 Expectativas</w:t>
      </w:r>
    </w:p>
    <w:p>
      <w:pPr>
        <w:pStyle w:val="Compact"/>
        <w:numPr>
          <w:ilvl w:val="0"/>
          <w:numId w:val="1012"/>
        </w:numPr>
      </w:pPr>
      <w:r>
        <w:t xml:space="preserve">Mesma produtividade do trabalho presencial</w:t>
      </w:r>
    </w:p>
    <w:p>
      <w:pPr>
        <w:pStyle w:val="Compact"/>
        <w:numPr>
          <w:ilvl w:val="0"/>
          <w:numId w:val="1012"/>
        </w:numPr>
      </w:pPr>
      <w:r>
        <w:t xml:space="preserve">Cumprimento de prazos e metas</w:t>
      </w:r>
    </w:p>
    <w:p>
      <w:pPr>
        <w:pStyle w:val="Compact"/>
        <w:numPr>
          <w:ilvl w:val="0"/>
          <w:numId w:val="1012"/>
        </w:numPr>
      </w:pPr>
      <w:r>
        <w:t xml:space="preserve">Participação ativa em reuniões e projetos</w:t>
      </w:r>
    </w:p>
    <w:bookmarkEnd w:id="28"/>
    <w:bookmarkStart w:id="29" w:name="avaliação"/>
    <w:p>
      <w:pPr>
        <w:pStyle w:val="Heading3"/>
      </w:pPr>
      <w:r>
        <w:t xml:space="preserve">9.2 Avaliação</w:t>
      </w:r>
    </w:p>
    <w:p>
      <w:pPr>
        <w:pStyle w:val="Compact"/>
        <w:numPr>
          <w:ilvl w:val="0"/>
          <w:numId w:val="1013"/>
        </w:numPr>
      </w:pPr>
      <w:r>
        <w:t xml:space="preserve">Avaliação trimestral de desempenho em home office</w:t>
      </w:r>
    </w:p>
    <w:p>
      <w:pPr>
        <w:pStyle w:val="Compact"/>
        <w:numPr>
          <w:ilvl w:val="0"/>
          <w:numId w:val="1013"/>
        </w:numPr>
      </w:pPr>
      <w:r>
        <w:t xml:space="preserve">Possibilidade de revisão da modalidade se desempenho insatisfatório</w:t>
      </w:r>
    </w:p>
    <w:p>
      <w:pPr>
        <w:pStyle w:val="Compact"/>
        <w:numPr>
          <w:ilvl w:val="0"/>
          <w:numId w:val="1013"/>
        </w:numPr>
      </w:pPr>
      <w:r>
        <w:t xml:space="preserve">Feedback contínuo da liderança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aúde-e-bem-estar"/>
    <w:p>
      <w:pPr>
        <w:pStyle w:val="Heading2"/>
      </w:pPr>
      <w:r>
        <w:t xml:space="preserve">10. Saúde e Bem-Estar</w:t>
      </w:r>
    </w:p>
    <w:bookmarkStart w:id="31" w:name="ergonomia"/>
    <w:p>
      <w:pPr>
        <w:pStyle w:val="Heading3"/>
      </w:pPr>
      <w:r>
        <w:t xml:space="preserve">10.1 Ergonomia</w:t>
      </w:r>
    </w:p>
    <w:p>
      <w:pPr>
        <w:pStyle w:val="Compact"/>
        <w:numPr>
          <w:ilvl w:val="0"/>
          <w:numId w:val="1014"/>
        </w:numPr>
      </w:pPr>
      <w:r>
        <w:t xml:space="preserve">Empresa oferece orientação ergonômica</w:t>
      </w:r>
    </w:p>
    <w:p>
      <w:pPr>
        <w:pStyle w:val="Compact"/>
        <w:numPr>
          <w:ilvl w:val="0"/>
          <w:numId w:val="1014"/>
        </w:numPr>
      </w:pPr>
      <w:r>
        <w:t xml:space="preserve">Colaborador deve seguir boas práticas posturais</w:t>
      </w:r>
    </w:p>
    <w:p>
      <w:pPr>
        <w:pStyle w:val="Compact"/>
        <w:numPr>
          <w:ilvl w:val="0"/>
          <w:numId w:val="1014"/>
        </w:numPr>
      </w:pPr>
      <w:r>
        <w:t xml:space="preserve">Pausas regulares recomendadas (5-10 min a cada hora)</w:t>
      </w:r>
    </w:p>
    <w:bookmarkEnd w:id="31"/>
    <w:bookmarkStart w:id="32" w:name="equilíbrio-vida-trabalho"/>
    <w:p>
      <w:pPr>
        <w:pStyle w:val="Heading3"/>
      </w:pPr>
      <w:r>
        <w:t xml:space="preserve">10.2 Equilíbrio Vida-Trabalho</w:t>
      </w:r>
    </w:p>
    <w:p>
      <w:pPr>
        <w:pStyle w:val="Compact"/>
        <w:numPr>
          <w:ilvl w:val="0"/>
          <w:numId w:val="1015"/>
        </w:numPr>
      </w:pPr>
      <w:r>
        <w:t xml:space="preserve">Respeito ao horário de descanso (após 18h e finais de semana)</w:t>
      </w:r>
    </w:p>
    <w:p>
      <w:pPr>
        <w:pStyle w:val="Compact"/>
        <w:numPr>
          <w:ilvl w:val="0"/>
          <w:numId w:val="1015"/>
        </w:numPr>
      </w:pPr>
      <w:r>
        <w:t xml:space="preserve">Direito à desconexão</w:t>
      </w:r>
    </w:p>
    <w:p>
      <w:pPr>
        <w:pStyle w:val="Compact"/>
        <w:numPr>
          <w:ilvl w:val="0"/>
          <w:numId w:val="1015"/>
        </w:numPr>
      </w:pPr>
      <w:r>
        <w:t xml:space="preserve">Incentivo a pausas e atividades físicas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ustos-e-reembolsos"/>
    <w:p>
      <w:pPr>
        <w:pStyle w:val="Heading2"/>
      </w:pPr>
      <w:r>
        <w:t xml:space="preserve">11. Custos e Reembolsos</w:t>
      </w:r>
    </w:p>
    <w:bookmarkStart w:id="34" w:name="ajuda-de-custo"/>
    <w:p>
      <w:pPr>
        <w:pStyle w:val="Heading3"/>
      </w:pPr>
      <w:r>
        <w:t xml:space="preserve">11.1 Ajuda de Custo</w:t>
      </w:r>
    </w:p>
    <w:p>
      <w:pPr>
        <w:pStyle w:val="Compact"/>
        <w:numPr>
          <w:ilvl w:val="0"/>
          <w:numId w:val="1016"/>
        </w:numPr>
      </w:pPr>
      <w:r>
        <w:t xml:space="preserve">R$ 150/mês para home office integral (internet + energia)</w:t>
      </w:r>
    </w:p>
    <w:p>
      <w:pPr>
        <w:pStyle w:val="Compact"/>
        <w:numPr>
          <w:ilvl w:val="0"/>
          <w:numId w:val="1016"/>
        </w:numPr>
      </w:pPr>
      <w:r>
        <w:t xml:space="preserve">R$ 75/mês para home office híbrido</w:t>
      </w:r>
    </w:p>
    <w:p>
      <w:pPr>
        <w:pStyle w:val="Compact"/>
        <w:numPr>
          <w:ilvl w:val="0"/>
          <w:numId w:val="1016"/>
        </w:numPr>
      </w:pPr>
      <w:r>
        <w:t xml:space="preserve">Pagamento junto com salário</w:t>
      </w:r>
    </w:p>
    <w:bookmarkEnd w:id="34"/>
    <w:bookmarkStart w:id="35" w:name="não-reembolsáveis"/>
    <w:p>
      <w:pPr>
        <w:pStyle w:val="Heading3"/>
      </w:pPr>
      <w:r>
        <w:t xml:space="preserve">11.2 Não Reembolsáveis</w:t>
      </w:r>
    </w:p>
    <w:p>
      <w:pPr>
        <w:pStyle w:val="Compact"/>
        <w:numPr>
          <w:ilvl w:val="0"/>
          <w:numId w:val="1017"/>
        </w:numPr>
      </w:pPr>
      <w:r>
        <w:t xml:space="preserve">Mobiliário pessoal (cadeira, mesa)</w:t>
      </w:r>
    </w:p>
    <w:p>
      <w:pPr>
        <w:pStyle w:val="Compact"/>
        <w:numPr>
          <w:ilvl w:val="0"/>
          <w:numId w:val="1017"/>
        </w:numPr>
      </w:pPr>
      <w:r>
        <w:t xml:space="preserve">Decoração do ambiente</w:t>
      </w:r>
    </w:p>
    <w:p>
      <w:pPr>
        <w:pStyle w:val="Compact"/>
        <w:numPr>
          <w:ilvl w:val="0"/>
          <w:numId w:val="1017"/>
        </w:numPr>
      </w:pPr>
      <w:r>
        <w:t xml:space="preserve">Upgrades de internet acima do necessário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torno-ao-trabalho-presencial"/>
    <w:p>
      <w:pPr>
        <w:pStyle w:val="Heading2"/>
      </w:pPr>
      <w:r>
        <w:t xml:space="preserve">12. Retorno ao Trabalho Presencial</w:t>
      </w:r>
    </w:p>
    <w:p>
      <w:pPr>
        <w:pStyle w:val="FirstParagraph"/>
      </w:pPr>
      <w:r>
        <w:t xml:space="preserve">A empresa reserva-se o direito de solicitar retorno ao trabalho presencial mediante:</w:t>
      </w:r>
      <w:r>
        <w:t xml:space="preserve"> </w:t>
      </w:r>
      <w:r>
        <w:t xml:space="preserve">- Aviso prévio de 30 dias</w:t>
      </w:r>
      <w:r>
        <w:t xml:space="preserve"> </w:t>
      </w:r>
      <w:r>
        <w:t xml:space="preserve">- Justificativa (mudança de estratégia, necessidade operacional)</w:t>
      </w:r>
      <w:r>
        <w:t xml:space="preserve"> </w:t>
      </w:r>
      <w:r>
        <w:t xml:space="preserve">- Diálogo com colaborador e liderança</w:t>
      </w:r>
    </w:p>
    <w:p>
      <w:r>
        <w:pict>
          <v:rect style="width:0;height:1.5pt" o:hralign="center" o:hrstd="t" o:hr="t"/>
        </w:pict>
      </w:r>
    </w:p>
    <w:bookmarkEnd w:id="37"/>
    <w:bookmarkStart w:id="41" w:name="disposições-finais"/>
    <w:p>
      <w:pPr>
        <w:pStyle w:val="Heading2"/>
      </w:pPr>
      <w:r>
        <w:t xml:space="preserve">13. Disposições Finais</w:t>
      </w:r>
    </w:p>
    <w:bookmarkStart w:id="38" w:name="vigência"/>
    <w:p>
      <w:pPr>
        <w:pStyle w:val="Heading3"/>
      </w:pPr>
      <w:r>
        <w:t xml:space="preserve">13.1 Vigência</w:t>
      </w:r>
    </w:p>
    <w:p>
      <w:pPr>
        <w:pStyle w:val="FirstParagraph"/>
      </w:pPr>
      <w:r>
        <w:t xml:space="preserve">Esta política entra em vigor em 01/02/2026.</w:t>
      </w:r>
    </w:p>
    <w:bookmarkEnd w:id="38"/>
    <w:bookmarkStart w:id="39" w:name="revisão"/>
    <w:p>
      <w:pPr>
        <w:pStyle w:val="Heading3"/>
      </w:pPr>
      <w:r>
        <w:t xml:space="preserve">13.2 Revisão</w:t>
      </w:r>
    </w:p>
    <w:p>
      <w:pPr>
        <w:pStyle w:val="FirstParagraph"/>
      </w:pPr>
      <w:r>
        <w:t xml:space="preserve">Revisão anual ou conforme necessidade.</w:t>
      </w:r>
    </w:p>
    <w:bookmarkEnd w:id="39"/>
    <w:bookmarkStart w:id="40" w:name="dúvidas"/>
    <w:p>
      <w:pPr>
        <w:pStyle w:val="Heading3"/>
      </w:pPr>
      <w:r>
        <w:t xml:space="preserve">13.3 Dúvidas</w:t>
      </w:r>
    </w:p>
    <w:p>
      <w:pPr>
        <w:pStyle w:val="FirstParagraph"/>
      </w:pPr>
      <w:r>
        <w:t xml:space="preserve">Contatar RH: rh@empresa.com.br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rovação"/>
    <w:p>
      <w:pPr>
        <w:pStyle w:val="Heading2"/>
      </w:pPr>
      <w:r>
        <w:t xml:space="preserve">14. Aprovação</w:t>
      </w:r>
    </w:p>
    <w:p>
      <w:pPr>
        <w:pStyle w:val="FirstParagraph"/>
      </w:pPr>
      <w:r>
        <w:rPr>
          <w:b/>
          <w:bCs/>
        </w:rPr>
        <w:t xml:space="preserve">Aprovado por:</w:t>
      </w:r>
      <w:r>
        <w:t xml:space="preserve"> </w:t>
      </w:r>
      <w:r>
        <w:t xml:space="preserve">- Diretoria de RH</w:t>
      </w:r>
      <w:r>
        <w:t xml:space="preserve"> </w:t>
      </w:r>
      <w:r>
        <w:t xml:space="preserve">- Diretoria Executiva</w:t>
      </w:r>
    </w:p>
    <w:p>
      <w:pPr>
        <w:pStyle w:val="BodyText"/>
      </w:pPr>
      <w:r>
        <w:rPr>
          <w:b/>
          <w:bCs/>
        </w:rPr>
        <w:t xml:space="preserve">Data de Aprovação:</w:t>
      </w:r>
      <w:r>
        <w:t xml:space="preserve"> </w:t>
      </w:r>
      <w:r>
        <w:t xml:space="preserve">24/01/2026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Anexos:</w:t>
      </w:r>
      <w:r>
        <w:t xml:space="preserve"> </w:t>
      </w:r>
      <w:r>
        <w:t xml:space="preserve">- Termo de Adesão ao Home Office</w:t>
      </w:r>
      <w:r>
        <w:t xml:space="preserve"> </w:t>
      </w:r>
      <w:r>
        <w:t xml:space="preserve">- Checklist de Segurança da Informação</w:t>
      </w:r>
      <w:r>
        <w:t xml:space="preserve"> </w:t>
      </w:r>
      <w:r>
        <w:t xml:space="preserve">- Guia de Ergonomia para Home Office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2026-01-25T00:16:31Z</dcterms:created>
  <dcterms:modified xsi:type="dcterms:W3CDTF">2026-01-25T00:16:31Z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