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1FEB" w:rsidRPr="00E10310" w:rsidRDefault="0058485C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highlight w:val="yellow"/>
          <w:lang w:val="pt-BR"/>
        </w:rPr>
        <w:t>Qua</w:t>
      </w:r>
      <w:r w:rsidR="00B21FEB" w:rsidRPr="0058485C">
        <w:rPr>
          <w:b/>
          <w:sz w:val="24"/>
          <w:szCs w:val="24"/>
          <w:highlight w:val="yellow"/>
          <w:lang w:val="pt-BR"/>
        </w:rPr>
        <w:t>lquer revisão de indicador que é parametrizado pela população to</w:t>
      </w:r>
      <w:r w:rsidR="00E10310" w:rsidRPr="0058485C">
        <w:rPr>
          <w:b/>
          <w:sz w:val="24"/>
          <w:szCs w:val="24"/>
          <w:highlight w:val="yellow"/>
          <w:lang w:val="pt-BR"/>
        </w:rPr>
        <w:t>t</w:t>
      </w:r>
      <w:r w:rsidR="00B21FEB" w:rsidRPr="0058485C">
        <w:rPr>
          <w:b/>
          <w:sz w:val="24"/>
          <w:szCs w:val="24"/>
          <w:highlight w:val="yellow"/>
          <w:lang w:val="pt-BR"/>
        </w:rPr>
        <w:t xml:space="preserve">al deve utilizar o indicador </w:t>
      </w:r>
      <w:r w:rsidR="00E10310" w:rsidRPr="0058485C">
        <w:rPr>
          <w:b/>
          <w:sz w:val="24"/>
          <w:szCs w:val="24"/>
          <w:highlight w:val="yellow"/>
          <w:lang w:val="pt-BR"/>
        </w:rPr>
        <w:t>“População Total A</w:t>
      </w:r>
      <w:r w:rsidR="00B21FEB" w:rsidRPr="0058485C">
        <w:rPr>
          <w:b/>
          <w:sz w:val="24"/>
          <w:szCs w:val="24"/>
          <w:highlight w:val="yellow"/>
          <w:lang w:val="pt-BR"/>
        </w:rPr>
        <w:t>justada</w:t>
      </w:r>
      <w:r w:rsidR="00E10310" w:rsidRPr="0058485C">
        <w:rPr>
          <w:b/>
          <w:sz w:val="24"/>
          <w:szCs w:val="24"/>
          <w:highlight w:val="yellow"/>
          <w:lang w:val="pt-BR"/>
        </w:rPr>
        <w:t xml:space="preserve">”(POPTA) </w:t>
      </w:r>
      <w:r w:rsidR="00B21FEB" w:rsidRPr="0058485C">
        <w:rPr>
          <w:b/>
          <w:sz w:val="24"/>
          <w:szCs w:val="24"/>
          <w:highlight w:val="yellow"/>
          <w:lang w:val="pt-BR"/>
        </w:rPr>
        <w:t xml:space="preserve"> e não </w:t>
      </w:r>
      <w:r w:rsidR="00E10310" w:rsidRPr="0058485C">
        <w:rPr>
          <w:b/>
          <w:sz w:val="24"/>
          <w:szCs w:val="24"/>
          <w:highlight w:val="yellow"/>
          <w:lang w:val="pt-BR"/>
        </w:rPr>
        <w:t>“</w:t>
      </w:r>
      <w:r w:rsidR="00B21FEB" w:rsidRPr="0058485C">
        <w:rPr>
          <w:b/>
          <w:sz w:val="24"/>
          <w:szCs w:val="24"/>
          <w:highlight w:val="yellow"/>
          <w:lang w:val="pt-BR"/>
        </w:rPr>
        <w:t>População Tota</w:t>
      </w:r>
      <w:r w:rsidR="00E10310" w:rsidRPr="0058485C">
        <w:rPr>
          <w:b/>
          <w:sz w:val="24"/>
          <w:szCs w:val="24"/>
          <w:highlight w:val="yellow"/>
          <w:lang w:val="pt-BR"/>
        </w:rPr>
        <w:t>L</w:t>
      </w:r>
      <w:r w:rsidR="00B21FEB" w:rsidRPr="0058485C">
        <w:rPr>
          <w:b/>
          <w:sz w:val="24"/>
          <w:szCs w:val="24"/>
          <w:highlight w:val="yellow"/>
          <w:lang w:val="pt-BR"/>
        </w:rPr>
        <w:t>”</w:t>
      </w:r>
      <w:r w:rsidR="00E10310" w:rsidRPr="0058485C">
        <w:rPr>
          <w:b/>
          <w:sz w:val="24"/>
          <w:szCs w:val="24"/>
          <w:highlight w:val="yellow"/>
          <w:lang w:val="pt-BR"/>
        </w:rPr>
        <w:t xml:space="preserve"> (</w:t>
      </w:r>
      <w:r w:rsidR="00B21FEB" w:rsidRPr="0058485C">
        <w:rPr>
          <w:b/>
          <w:sz w:val="24"/>
          <w:szCs w:val="24"/>
          <w:highlight w:val="yellow"/>
          <w:lang w:val="pt-BR"/>
        </w:rPr>
        <w:t>POPT</w:t>
      </w:r>
      <w:r w:rsidRPr="0058485C">
        <w:rPr>
          <w:b/>
          <w:sz w:val="24"/>
          <w:szCs w:val="24"/>
          <w:highlight w:val="yellow"/>
          <w:lang w:val="pt-BR"/>
        </w:rPr>
        <w:t>) PARA OS ANOS 2008 A 2012</w:t>
      </w:r>
      <w:r w:rsidR="00E10310" w:rsidRPr="0058485C">
        <w:rPr>
          <w:b/>
          <w:sz w:val="24"/>
          <w:szCs w:val="24"/>
          <w:highlight w:val="yellow"/>
          <w:lang w:val="pt-BR"/>
        </w:rPr>
        <w:t>.</w:t>
      </w:r>
    </w:p>
    <w:p w:rsidR="00B21FEB" w:rsidRDefault="00B21FEB">
      <w:pPr>
        <w:rPr>
          <w:lang w:val="pt-BR"/>
        </w:rPr>
      </w:pPr>
    </w:p>
    <w:p w:rsidR="00AB57B5" w:rsidRPr="00B21FEB" w:rsidRDefault="00CA6ACB" w:rsidP="00B21FEB">
      <w:pPr>
        <w:jc w:val="both"/>
        <w:rPr>
          <w:sz w:val="24"/>
          <w:szCs w:val="24"/>
          <w:lang w:val="pt-BR"/>
        </w:rPr>
      </w:pPr>
      <w:r w:rsidRPr="00B21FEB">
        <w:rPr>
          <w:sz w:val="24"/>
          <w:szCs w:val="24"/>
          <w:lang w:val="pt-BR"/>
        </w:rPr>
        <w:t>Entre 2008 e 2012, para garantir maior estabilidade dos indicadores parametrizados pela população total, promovemos</w:t>
      </w:r>
      <w:r w:rsidR="00AB57B5" w:rsidRPr="00B21FEB">
        <w:rPr>
          <w:sz w:val="24"/>
          <w:szCs w:val="24"/>
          <w:lang w:val="pt-BR"/>
        </w:rPr>
        <w:t xml:space="preserve"> um ajuste neste indicador, produzido pelo IBGE</w:t>
      </w:r>
      <w:r w:rsidR="00B21FEB">
        <w:rPr>
          <w:sz w:val="24"/>
          <w:szCs w:val="24"/>
          <w:lang w:val="pt-BR"/>
        </w:rPr>
        <w:t>,</w:t>
      </w:r>
      <w:r w:rsidR="00AB57B5" w:rsidRPr="00B21FEB">
        <w:rPr>
          <w:sz w:val="24"/>
          <w:szCs w:val="24"/>
          <w:lang w:val="pt-BR"/>
        </w:rPr>
        <w:t xml:space="preserve"> que estava apresentando variações inexplicáveis. </w:t>
      </w:r>
    </w:p>
    <w:p w:rsidR="00CA6ACB" w:rsidRPr="00B21FEB" w:rsidRDefault="00AB57B5" w:rsidP="00B21FEB">
      <w:pPr>
        <w:jc w:val="both"/>
        <w:rPr>
          <w:sz w:val="24"/>
          <w:szCs w:val="24"/>
          <w:lang w:val="pt-BR"/>
        </w:rPr>
      </w:pPr>
      <w:r w:rsidRPr="00B21FEB">
        <w:rPr>
          <w:sz w:val="24"/>
          <w:szCs w:val="24"/>
          <w:lang w:val="pt-BR"/>
        </w:rPr>
        <w:t>Para o cálculo de nossos indicadores</w:t>
      </w:r>
      <w:r w:rsidR="00B21FEB">
        <w:rPr>
          <w:sz w:val="24"/>
          <w:szCs w:val="24"/>
          <w:lang w:val="pt-BR"/>
        </w:rPr>
        <w:t xml:space="preserve"> neste período</w:t>
      </w:r>
      <w:r w:rsidRPr="00B21FEB">
        <w:rPr>
          <w:sz w:val="24"/>
          <w:szCs w:val="24"/>
          <w:lang w:val="pt-BR"/>
        </w:rPr>
        <w:t>, u</w:t>
      </w:r>
      <w:r w:rsidR="00CA6ACB" w:rsidRPr="00B21FEB">
        <w:rPr>
          <w:sz w:val="24"/>
          <w:szCs w:val="24"/>
          <w:lang w:val="pt-BR"/>
        </w:rPr>
        <w:t>tilizamos o indicador: população total ajustada</w:t>
      </w:r>
      <w:r w:rsidR="00B21FEB">
        <w:rPr>
          <w:sz w:val="24"/>
          <w:szCs w:val="24"/>
          <w:lang w:val="pt-BR"/>
        </w:rPr>
        <w:t xml:space="preserve"> (</w:t>
      </w:r>
      <w:r w:rsidR="00CA6ACB" w:rsidRPr="00B21FEB">
        <w:rPr>
          <w:sz w:val="24"/>
          <w:szCs w:val="24"/>
          <w:lang w:val="pt-BR"/>
        </w:rPr>
        <w:t>POPTA</w:t>
      </w:r>
      <w:r w:rsidR="00B21FEB">
        <w:rPr>
          <w:sz w:val="24"/>
          <w:szCs w:val="24"/>
          <w:lang w:val="pt-BR"/>
        </w:rPr>
        <w:t xml:space="preserve">), que </w:t>
      </w:r>
      <w:r w:rsidR="00CA6ACB" w:rsidRPr="00B21FEB">
        <w:rPr>
          <w:sz w:val="24"/>
          <w:szCs w:val="24"/>
          <w:lang w:val="pt-BR"/>
        </w:rPr>
        <w:t>se encontra na base disponibili</w:t>
      </w:r>
      <w:r w:rsidR="00B21FEB">
        <w:rPr>
          <w:sz w:val="24"/>
          <w:szCs w:val="24"/>
          <w:lang w:val="pt-BR"/>
        </w:rPr>
        <w:t>zada logo ao lado da População T</w:t>
      </w:r>
      <w:r w:rsidR="00CA6ACB" w:rsidRPr="00B21FEB">
        <w:rPr>
          <w:sz w:val="24"/>
          <w:szCs w:val="24"/>
          <w:lang w:val="pt-BR"/>
        </w:rPr>
        <w:t>otal (POPT)</w:t>
      </w:r>
    </w:p>
    <w:p w:rsidR="00CA6ACB" w:rsidRPr="00B21FEB" w:rsidRDefault="00CA6ACB" w:rsidP="00B21FEB">
      <w:pPr>
        <w:jc w:val="both"/>
        <w:rPr>
          <w:sz w:val="24"/>
          <w:szCs w:val="24"/>
          <w:lang w:val="pt-BR"/>
        </w:rPr>
      </w:pPr>
      <w:r w:rsidRPr="00B21FEB">
        <w:rPr>
          <w:sz w:val="24"/>
          <w:szCs w:val="24"/>
          <w:lang w:val="pt-BR"/>
        </w:rPr>
        <w:t xml:space="preserve">Na época dos cálculos, era importante para nós não alterar o dado oficial de população </w:t>
      </w:r>
      <w:r w:rsidR="00AB57B5" w:rsidRPr="00B21FEB">
        <w:rPr>
          <w:sz w:val="24"/>
          <w:szCs w:val="24"/>
          <w:lang w:val="pt-BR"/>
        </w:rPr>
        <w:t xml:space="preserve">total </w:t>
      </w:r>
      <w:r w:rsidRPr="00B21FEB">
        <w:rPr>
          <w:sz w:val="24"/>
          <w:szCs w:val="24"/>
          <w:lang w:val="pt-BR"/>
        </w:rPr>
        <w:t xml:space="preserve">na plataforma para não haver possibilidade de confusão com </w:t>
      </w:r>
      <w:r w:rsidR="00AB57B5" w:rsidRPr="00B21FEB">
        <w:rPr>
          <w:sz w:val="24"/>
          <w:szCs w:val="24"/>
          <w:lang w:val="pt-BR"/>
        </w:rPr>
        <w:t>outras informações oficiais que utili</w:t>
      </w:r>
      <w:r w:rsidR="00B21FEB">
        <w:rPr>
          <w:sz w:val="24"/>
          <w:szCs w:val="24"/>
          <w:lang w:val="pt-BR"/>
        </w:rPr>
        <w:t xml:space="preserve">zavam a população total, como </w:t>
      </w:r>
      <w:r w:rsidR="00AB57B5" w:rsidRPr="00B21FEB">
        <w:rPr>
          <w:sz w:val="24"/>
          <w:szCs w:val="24"/>
          <w:lang w:val="pt-BR"/>
        </w:rPr>
        <w:t>a</w:t>
      </w:r>
      <w:r w:rsidRPr="00B21FEB">
        <w:rPr>
          <w:sz w:val="24"/>
          <w:szCs w:val="24"/>
          <w:lang w:val="pt-BR"/>
        </w:rPr>
        <w:t xml:space="preserve"> Lei Hobin Hood</w:t>
      </w:r>
      <w:r w:rsidR="00AB57B5" w:rsidRPr="00B21FEB">
        <w:rPr>
          <w:sz w:val="24"/>
          <w:szCs w:val="24"/>
          <w:lang w:val="pt-BR"/>
        </w:rPr>
        <w:t xml:space="preserve"> e </w:t>
      </w:r>
      <w:r w:rsidRPr="00B21FEB">
        <w:rPr>
          <w:sz w:val="24"/>
          <w:szCs w:val="24"/>
          <w:lang w:val="pt-BR"/>
        </w:rPr>
        <w:t>o  Fundo de Participação Municipal (FPM).</w:t>
      </w:r>
    </w:p>
    <w:p w:rsidR="00CA6ACB" w:rsidRPr="00B21FEB" w:rsidRDefault="00CA6ACB" w:rsidP="00B21FEB">
      <w:pPr>
        <w:jc w:val="both"/>
        <w:rPr>
          <w:sz w:val="24"/>
          <w:szCs w:val="24"/>
          <w:lang w:val="pt-BR"/>
        </w:rPr>
      </w:pPr>
    </w:p>
    <w:p w:rsidR="00AB57B5" w:rsidRPr="00B21FEB" w:rsidRDefault="00AB57B5" w:rsidP="00B21FEB">
      <w:pPr>
        <w:jc w:val="both"/>
        <w:rPr>
          <w:sz w:val="24"/>
          <w:szCs w:val="24"/>
          <w:lang w:val="pt-BR"/>
        </w:rPr>
      </w:pPr>
      <w:r w:rsidRPr="00B21FEB">
        <w:rPr>
          <w:sz w:val="24"/>
          <w:szCs w:val="24"/>
          <w:lang w:val="pt-BR"/>
        </w:rPr>
        <w:t>Nossa decisão</w:t>
      </w:r>
      <w:r w:rsidR="00B21FEB" w:rsidRPr="00B21FEB">
        <w:rPr>
          <w:sz w:val="24"/>
          <w:szCs w:val="24"/>
          <w:lang w:val="pt-BR"/>
        </w:rPr>
        <w:t xml:space="preserve"> de </w:t>
      </w:r>
      <w:r w:rsidR="00B21FEB">
        <w:rPr>
          <w:sz w:val="24"/>
          <w:szCs w:val="24"/>
          <w:lang w:val="pt-BR"/>
        </w:rPr>
        <w:t>realizar</w:t>
      </w:r>
      <w:r w:rsidR="00B21FEB" w:rsidRPr="00B21FEB">
        <w:rPr>
          <w:sz w:val="24"/>
          <w:szCs w:val="24"/>
          <w:lang w:val="pt-BR"/>
        </w:rPr>
        <w:t xml:space="preserve"> o referido reajuste no período</w:t>
      </w:r>
      <w:r w:rsidR="00B21FEB">
        <w:rPr>
          <w:sz w:val="24"/>
          <w:szCs w:val="24"/>
          <w:lang w:val="pt-BR"/>
        </w:rPr>
        <w:t xml:space="preserve"> </w:t>
      </w:r>
      <w:r w:rsidR="00B21FEB" w:rsidRPr="00B21FEB">
        <w:rPr>
          <w:sz w:val="24"/>
          <w:szCs w:val="24"/>
          <w:lang w:val="pt-BR"/>
        </w:rPr>
        <w:t xml:space="preserve">entre 2008 e 2012, </w:t>
      </w:r>
      <w:r w:rsidRPr="00B21FEB">
        <w:rPr>
          <w:sz w:val="24"/>
          <w:szCs w:val="24"/>
          <w:lang w:val="pt-BR"/>
        </w:rPr>
        <w:t xml:space="preserve">foi bastante fundamentada, tanto que posteriormente o IBGE promoveu </w:t>
      </w:r>
      <w:r w:rsidR="003B78AB" w:rsidRPr="00B21FEB">
        <w:rPr>
          <w:sz w:val="24"/>
          <w:szCs w:val="24"/>
          <w:lang w:val="pt-BR"/>
        </w:rPr>
        <w:t xml:space="preserve"> uma revisão d</w:t>
      </w:r>
      <w:r w:rsidR="00B21FEB" w:rsidRPr="00B21FEB">
        <w:rPr>
          <w:sz w:val="24"/>
          <w:szCs w:val="24"/>
          <w:lang w:val="pt-BR"/>
        </w:rPr>
        <w:t>as</w:t>
      </w:r>
      <w:r w:rsidR="003B78AB" w:rsidRPr="00B21FEB">
        <w:rPr>
          <w:sz w:val="24"/>
          <w:szCs w:val="24"/>
          <w:lang w:val="pt-BR"/>
        </w:rPr>
        <w:t xml:space="preserve"> suas estimativas populacionais anteriores e os </w:t>
      </w:r>
      <w:r w:rsidR="00B21FEB">
        <w:rPr>
          <w:sz w:val="24"/>
          <w:szCs w:val="24"/>
          <w:lang w:val="pt-BR"/>
        </w:rPr>
        <w:t>n</w:t>
      </w:r>
      <w:r w:rsidR="00B21FEB" w:rsidRPr="00B21FEB">
        <w:rPr>
          <w:sz w:val="24"/>
          <w:szCs w:val="24"/>
          <w:lang w:val="pt-BR"/>
        </w:rPr>
        <w:t xml:space="preserve">ovos </w:t>
      </w:r>
      <w:r w:rsidR="003B78AB" w:rsidRPr="00B21FEB">
        <w:rPr>
          <w:sz w:val="24"/>
          <w:szCs w:val="24"/>
          <w:lang w:val="pt-BR"/>
        </w:rPr>
        <w:t xml:space="preserve">resultados </w:t>
      </w:r>
      <w:r w:rsidRPr="00B21FEB">
        <w:rPr>
          <w:sz w:val="24"/>
          <w:szCs w:val="24"/>
          <w:lang w:val="pt-BR"/>
        </w:rPr>
        <w:t>apresentados</w:t>
      </w:r>
      <w:r w:rsidR="00B21FEB">
        <w:rPr>
          <w:sz w:val="24"/>
          <w:szCs w:val="24"/>
          <w:lang w:val="pt-BR"/>
        </w:rPr>
        <w:t xml:space="preserve"> por ele</w:t>
      </w:r>
      <w:r w:rsidRPr="00B21FEB">
        <w:rPr>
          <w:sz w:val="24"/>
          <w:szCs w:val="24"/>
          <w:lang w:val="pt-BR"/>
        </w:rPr>
        <w:t xml:space="preserve"> ficaram </w:t>
      </w:r>
      <w:r w:rsidR="003B78AB" w:rsidRPr="00B21FEB">
        <w:rPr>
          <w:sz w:val="24"/>
          <w:szCs w:val="24"/>
          <w:lang w:val="pt-BR"/>
        </w:rPr>
        <w:t xml:space="preserve"> muito próximos aos das estimativas da FJP</w:t>
      </w:r>
      <w:r w:rsidRPr="00B21FEB">
        <w:rPr>
          <w:sz w:val="24"/>
          <w:szCs w:val="24"/>
          <w:lang w:val="pt-BR"/>
        </w:rPr>
        <w:t>, o nosso POPTA.</w:t>
      </w:r>
    </w:p>
    <w:p w:rsidR="00AB57B5" w:rsidRPr="00B21FEB" w:rsidRDefault="00AB57B5" w:rsidP="00B21FEB">
      <w:pPr>
        <w:jc w:val="both"/>
        <w:rPr>
          <w:sz w:val="24"/>
          <w:szCs w:val="24"/>
          <w:lang w:val="pt-BR"/>
        </w:rPr>
      </w:pPr>
      <w:r w:rsidRPr="00B21FEB">
        <w:rPr>
          <w:sz w:val="24"/>
          <w:szCs w:val="24"/>
          <w:lang w:val="pt-BR"/>
        </w:rPr>
        <w:t>Decidimos não alterar</w:t>
      </w:r>
      <w:r w:rsidR="00B21FEB" w:rsidRPr="00B21FEB">
        <w:rPr>
          <w:sz w:val="24"/>
          <w:szCs w:val="24"/>
          <w:lang w:val="pt-BR"/>
        </w:rPr>
        <w:t xml:space="preserve"> a série</w:t>
      </w:r>
      <w:r w:rsidR="00B21FEB">
        <w:rPr>
          <w:sz w:val="24"/>
          <w:szCs w:val="24"/>
          <w:lang w:val="pt-BR"/>
        </w:rPr>
        <w:t xml:space="preserve"> na plataforma</w:t>
      </w:r>
      <w:r w:rsidR="00B21FEB" w:rsidRPr="00B21FEB">
        <w:rPr>
          <w:sz w:val="24"/>
          <w:szCs w:val="24"/>
          <w:lang w:val="pt-BR"/>
        </w:rPr>
        <w:t>, tanto de POPT como de POPTA</w:t>
      </w:r>
      <w:r w:rsidR="00B21FEB">
        <w:rPr>
          <w:sz w:val="24"/>
          <w:szCs w:val="24"/>
          <w:lang w:val="pt-BR"/>
        </w:rPr>
        <w:t xml:space="preserve">, </w:t>
      </w:r>
      <w:r w:rsidRPr="00B21FEB">
        <w:rPr>
          <w:sz w:val="24"/>
          <w:szCs w:val="24"/>
          <w:lang w:val="pt-BR"/>
        </w:rPr>
        <w:t>depois do referido re</w:t>
      </w:r>
      <w:r w:rsidR="00B21FEB" w:rsidRPr="00B21FEB">
        <w:rPr>
          <w:sz w:val="24"/>
          <w:szCs w:val="24"/>
          <w:lang w:val="pt-BR"/>
        </w:rPr>
        <w:t>a</w:t>
      </w:r>
      <w:r w:rsidRPr="00B21FEB">
        <w:rPr>
          <w:sz w:val="24"/>
          <w:szCs w:val="24"/>
          <w:lang w:val="pt-BR"/>
        </w:rPr>
        <w:t>juste</w:t>
      </w:r>
      <w:r w:rsidR="00B21FEB" w:rsidRPr="00B21FEB">
        <w:rPr>
          <w:sz w:val="24"/>
          <w:szCs w:val="24"/>
          <w:lang w:val="pt-BR"/>
        </w:rPr>
        <w:t xml:space="preserve"> do IBGE</w:t>
      </w:r>
      <w:r w:rsidRPr="00B21FEB">
        <w:rPr>
          <w:sz w:val="24"/>
          <w:szCs w:val="24"/>
          <w:lang w:val="pt-BR"/>
        </w:rPr>
        <w:t>, para mantermos a fidelidade com os indicadores já publicados.</w:t>
      </w:r>
      <w:r w:rsidR="00B21FEB" w:rsidRPr="00B21FEB">
        <w:rPr>
          <w:sz w:val="24"/>
          <w:szCs w:val="24"/>
          <w:lang w:val="pt-BR"/>
        </w:rPr>
        <w:t xml:space="preserve"> A opção seria refazer tudo, inclusive os índices do IMRS, sendo q</w:t>
      </w:r>
      <w:r w:rsidR="00B21FEB">
        <w:rPr>
          <w:sz w:val="24"/>
          <w:szCs w:val="24"/>
          <w:lang w:val="pt-BR"/>
        </w:rPr>
        <w:t>ue as alterações seriam mínimas.</w:t>
      </w:r>
    </w:p>
    <w:p w:rsidR="00AB57B5" w:rsidRPr="00B21FEB" w:rsidRDefault="00AB57B5" w:rsidP="00B21FEB">
      <w:pPr>
        <w:jc w:val="both"/>
        <w:rPr>
          <w:sz w:val="24"/>
          <w:szCs w:val="24"/>
          <w:lang w:val="pt-BR"/>
        </w:rPr>
      </w:pPr>
      <w:r w:rsidRPr="00B21FEB">
        <w:rPr>
          <w:sz w:val="24"/>
          <w:szCs w:val="24"/>
          <w:lang w:val="pt-BR"/>
        </w:rPr>
        <w:t>Depois de 2012 os dados de POPT e POPTA</w:t>
      </w:r>
      <w:r w:rsidR="00B21FEB" w:rsidRPr="00B21FEB">
        <w:rPr>
          <w:sz w:val="24"/>
          <w:szCs w:val="24"/>
          <w:lang w:val="pt-BR"/>
        </w:rPr>
        <w:t xml:space="preserve"> coincidem</w:t>
      </w:r>
      <w:r w:rsidR="003B78AB" w:rsidRPr="00B21FEB">
        <w:rPr>
          <w:sz w:val="24"/>
          <w:szCs w:val="24"/>
          <w:lang w:val="pt-BR"/>
        </w:rPr>
        <w:t>.</w:t>
      </w:r>
    </w:p>
    <w:p w:rsidR="00B21FEB" w:rsidRDefault="003B78AB" w:rsidP="00B21FEB">
      <w:pPr>
        <w:jc w:val="both"/>
        <w:rPr>
          <w:sz w:val="24"/>
          <w:szCs w:val="24"/>
          <w:lang w:val="pt-BR"/>
        </w:rPr>
      </w:pPr>
      <w:r w:rsidRPr="00B21FEB">
        <w:rPr>
          <w:sz w:val="24"/>
          <w:szCs w:val="24"/>
          <w:lang w:val="pt-BR"/>
        </w:rPr>
        <w:t xml:space="preserve"> As novas estimativas do IBGE podem ser obtidas em</w:t>
      </w:r>
      <w:r w:rsidR="00B21FEB">
        <w:rPr>
          <w:sz w:val="24"/>
          <w:szCs w:val="24"/>
          <w:lang w:val="pt-BR"/>
        </w:rPr>
        <w:t>:</w:t>
      </w:r>
    </w:p>
    <w:p w:rsidR="002077EB" w:rsidRPr="00B21FEB" w:rsidRDefault="003B78AB" w:rsidP="00B21FEB">
      <w:pPr>
        <w:jc w:val="both"/>
        <w:rPr>
          <w:color w:val="0070C0"/>
          <w:sz w:val="24"/>
          <w:szCs w:val="24"/>
          <w:lang w:val="pt-BR"/>
        </w:rPr>
      </w:pPr>
      <w:r w:rsidRPr="00B21FEB">
        <w:rPr>
          <w:sz w:val="24"/>
          <w:szCs w:val="24"/>
          <w:lang w:val="pt-BR"/>
        </w:rPr>
        <w:t xml:space="preserve"> </w:t>
      </w:r>
      <w:r w:rsidRPr="00B21FEB">
        <w:rPr>
          <w:color w:val="0070C0"/>
          <w:sz w:val="24"/>
          <w:szCs w:val="24"/>
          <w:lang w:val="pt-BR"/>
        </w:rPr>
        <w:t>http://www.fjp.mg.gov.br/index.php/produtos-e-servicos1/4221-estatisticas-demograficas.</w:t>
      </w:r>
    </w:p>
    <w:sectPr w:rsidR="002077EB" w:rsidRPr="00B2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AB"/>
    <w:rsid w:val="001912D4"/>
    <w:rsid w:val="002077EB"/>
    <w:rsid w:val="003B78AB"/>
    <w:rsid w:val="0058485C"/>
    <w:rsid w:val="00AB57B5"/>
    <w:rsid w:val="00B21FEB"/>
    <w:rsid w:val="00CA6ACB"/>
    <w:rsid w:val="00E1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67750-A106-4A3C-A64F-99572398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Helena Soares</cp:lastModifiedBy>
  <cp:revision>3</cp:revision>
  <dcterms:created xsi:type="dcterms:W3CDTF">2020-09-18T13:56:00Z</dcterms:created>
  <dcterms:modified xsi:type="dcterms:W3CDTF">2020-09-18T13:56:00Z</dcterms:modified>
</cp:coreProperties>
</file>