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738FB" w14:textId="77777777" w:rsidR="006F3E76" w:rsidRDefault="00535FF5">
      <w:pPr>
        <w:pStyle w:val="Heading1"/>
        <w:rPr>
          <w:rFonts w:asciiTheme="minorHAnsi" w:hAnsiTheme="minorHAnsi" w:cstheme="minorBidi"/>
        </w:rPr>
      </w:pPr>
      <w:r w:rsidRPr="00535FF5">
        <w:rPr>
          <w:rFonts w:asciiTheme="minorHAnsi" w:hAnsiTheme="minorHAnsi" w:cstheme="minorBidi"/>
        </w:rPr>
        <w:t>Email Summary: Supply Chain Risks Impacting FDA Compliance</w:t>
      </w:r>
    </w:p>
    <w:p w14:paraId="2106D91F" w14:textId="77777777" w:rsidR="00535FF5" w:rsidRDefault="00535FF5">
      <w:r>
        <w:t>Maria urgently escalates severe supply chain and quality issues affecting components BIND567, COMP042, and COMP043. These problems are creating production delays, traceability gaps, quality failures, and significant FDA compliance exposure that require immediate cross-functional action.</w:t>
      </w:r>
    </w:p>
    <w:p w14:paraId="50718EDF" w14:textId="77777777" w:rsidR="00535FF5" w:rsidRDefault="00535FF5">
      <w:pPr>
        <w:pStyle w:val="Heading2"/>
        <w:rPr>
          <w:rFonts w:asciiTheme="minorHAnsi" w:hAnsiTheme="minorHAnsi" w:cstheme="minorBidi"/>
        </w:rPr>
      </w:pPr>
      <w:r>
        <w:rPr>
          <w:rFonts w:asciiTheme="minorHAnsi" w:hAnsiTheme="minorHAnsi" w:cstheme="minorBidi"/>
        </w:rPr>
        <w:t>3 Key Issues</w:t>
      </w:r>
    </w:p>
    <w:p w14:paraId="7F79D578" w14:textId="77777777" w:rsidR="00535FF5" w:rsidRDefault="00535FF5" w:rsidP="00535FF5">
      <w:pPr>
        <w:pStyle w:val="ListParagraph"/>
        <w:numPr>
          <w:ilvl w:val="0"/>
          <w:numId w:val="1"/>
        </w:numPr>
      </w:pPr>
      <w:r w:rsidRPr="00535FF5">
        <w:rPr>
          <w:b/>
          <w:bCs/>
        </w:rPr>
        <w:t>BIND567 quality instability:</w:t>
      </w:r>
      <w:r>
        <w:t xml:space="preserve"> Recent batches show molecular inconsistencies, quality control failures, stability issues, and unpredictable manufacturing reactions, creating defective products, production delays, and risk to final product efficacy.</w:t>
      </w:r>
    </w:p>
    <w:p w14:paraId="7FFF5620" w14:textId="77777777" w:rsidR="00535FF5" w:rsidRDefault="00535FF5" w:rsidP="00535FF5">
      <w:pPr>
        <w:pStyle w:val="ListParagraph"/>
        <w:numPr>
          <w:ilvl w:val="0"/>
          <w:numId w:val="1"/>
        </w:numPr>
      </w:pPr>
      <w:r>
        <w:rPr>
          <w:b/>
          <w:bCs/>
        </w:rPr>
        <w:t>COMP042 traceability and logistics breakdown:</w:t>
      </w:r>
      <w:r>
        <w:t xml:space="preserve"> Frequent delays, incorrect lot numbers, poor documentation, and inability to verify origin or handling create major FDA compliance risk, potential contamination concerns, bottlenecks, downtime, and increased operating costs.</w:t>
      </w:r>
    </w:p>
    <w:p w14:paraId="0197FB72" w14:textId="77777777" w:rsidR="00535FF5" w:rsidRDefault="00535FF5" w:rsidP="00535FF5">
      <w:pPr>
        <w:pStyle w:val="ListParagraph"/>
        <w:numPr>
          <w:ilvl w:val="0"/>
          <w:numId w:val="1"/>
        </w:numPr>
      </w:pPr>
      <w:r>
        <w:rPr>
          <w:b/>
          <w:bCs/>
        </w:rPr>
        <w:t>COMP043 supplier GMP non-compliance:</w:t>
      </w:r>
      <w:r>
        <w:t xml:space="preserve"> Supplier failures to meet GMP and purity standards, combined with erratic delivery schedules and stockouts, threaten production continuity and expose the organization to regulatory penalties or shutdown risk.</w:t>
      </w:r>
    </w:p>
    <w:p w14:paraId="2B610F8C" w14:textId="77777777" w:rsidR="00535FF5" w:rsidRDefault="00535FF5">
      <w:pPr>
        <w:pStyle w:val="Heading2"/>
        <w:rPr>
          <w:rFonts w:asciiTheme="minorHAnsi" w:hAnsiTheme="minorHAnsi" w:cstheme="minorBidi"/>
        </w:rPr>
      </w:pPr>
      <w:r>
        <w:rPr>
          <w:rFonts w:asciiTheme="minorHAnsi" w:hAnsiTheme="minorHAnsi" w:cstheme="minorBidi"/>
        </w:rPr>
        <w:t>5 Actionable Next Steps</w:t>
      </w:r>
    </w:p>
    <w:p w14:paraId="48FF46D7" w14:textId="77777777" w:rsidR="00535FF5" w:rsidRDefault="00535FF5" w:rsidP="00535FF5">
      <w:pPr>
        <w:pStyle w:val="ListParagraph"/>
        <w:numPr>
          <w:ilvl w:val="0"/>
          <w:numId w:val="2"/>
        </w:numPr>
      </w:pPr>
      <w:r>
        <w:t>Convene an immediate cross-functional incident review with procurement, quality assurance, regulatory affairs, supply chain management, and manufacturing leads.</w:t>
      </w:r>
    </w:p>
    <w:p w14:paraId="044D81AC" w14:textId="77777777" w:rsidR="00535FF5" w:rsidRDefault="00535FF5" w:rsidP="00535FF5">
      <w:pPr>
        <w:pStyle w:val="ListParagraph"/>
        <w:numPr>
          <w:ilvl w:val="0"/>
          <w:numId w:val="2"/>
        </w:numPr>
      </w:pPr>
      <w:r>
        <w:t>Place enhanced quality review controls on current BIND567, COMP042, and COMP043 batches before further production use.</w:t>
      </w:r>
    </w:p>
    <w:p w14:paraId="2C74559D" w14:textId="77777777" w:rsidR="00535FF5" w:rsidRDefault="00535FF5" w:rsidP="00535FF5">
      <w:pPr>
        <w:pStyle w:val="ListParagraph"/>
        <w:numPr>
          <w:ilvl w:val="0"/>
          <w:numId w:val="2"/>
        </w:numPr>
      </w:pPr>
      <w:r>
        <w:t>Launch a rapid traceability audit for COMP042, including lot number verification, supplier documentation review, and handling history confirmation.</w:t>
      </w:r>
    </w:p>
    <w:p w14:paraId="06052F5F" w14:textId="77777777" w:rsidR="00535FF5" w:rsidRDefault="00535FF5" w:rsidP="00535FF5">
      <w:pPr>
        <w:pStyle w:val="ListParagraph"/>
        <w:numPr>
          <w:ilvl w:val="0"/>
          <w:numId w:val="2"/>
        </w:numPr>
      </w:pPr>
      <w:r>
        <w:t>Issue corrective action requests to suppliers for BIND567, COMP042, and COMP043, with clear deadlines for GMP compliance, documentation accuracy, shipment reliability, and quality remediation.</w:t>
      </w:r>
    </w:p>
    <w:p w14:paraId="0FF6FFFE" w14:textId="77777777" w:rsidR="00535FF5" w:rsidRDefault="00535FF5" w:rsidP="00535FF5">
      <w:pPr>
        <w:pStyle w:val="ListParagraph"/>
        <w:numPr>
          <w:ilvl w:val="0"/>
          <w:numId w:val="2"/>
        </w:numPr>
      </w:pPr>
      <w:r>
        <w:t>Develop a short-term supply continuity plan, including qualified alternate suppliers, inventory buffers, and production prioritization to reduce FDA compliance and stockout risk.</w:t>
      </w:r>
    </w:p>
    <w:p w14:paraId="58579DE3" w14:textId="28883204" w:rsidR="006F3E76" w:rsidRDefault="006F3E76"/>
    <w:sectPr w:rsidR="006F3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02B42"/>
    <w:multiLevelType w:val="multilevel"/>
    <w:tmpl w:val="69A0A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A02E51"/>
    <w:multiLevelType w:val="multilevel"/>
    <w:tmpl w:val="1A5C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284648">
    <w:abstractNumId w:val="0"/>
  </w:num>
  <w:num w:numId="2" w16cid:durableId="1455128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B92"/>
    <w:rsid w:val="002C7B92"/>
    <w:rsid w:val="00535FF5"/>
    <w:rsid w:val="006F3E76"/>
    <w:rsid w:val="00862BAB"/>
    <w:rsid w:val="00A9199B"/>
    <w:rsid w:val="00E0686A"/>
    <w:rsid w:val="00E94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C397"/>
  <w15:chartTrackingRefBased/>
  <w15:docId w15:val="{35FA4C36-F503-4F25-858D-9CD2ADD8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7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B92"/>
    <w:rPr>
      <w:rFonts w:eastAsiaTheme="majorEastAsia" w:cstheme="majorBidi"/>
      <w:color w:val="272727" w:themeColor="text1" w:themeTint="D8"/>
    </w:rPr>
  </w:style>
  <w:style w:type="paragraph" w:styleId="Title">
    <w:name w:val="Title"/>
    <w:basedOn w:val="Normal"/>
    <w:next w:val="Normal"/>
    <w:link w:val="TitleChar"/>
    <w:uiPriority w:val="10"/>
    <w:qFormat/>
    <w:rsid w:val="002C7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B92"/>
    <w:pPr>
      <w:spacing w:before="160"/>
      <w:jc w:val="center"/>
    </w:pPr>
    <w:rPr>
      <w:i/>
      <w:iCs/>
      <w:color w:val="404040" w:themeColor="text1" w:themeTint="BF"/>
    </w:rPr>
  </w:style>
  <w:style w:type="character" w:customStyle="1" w:styleId="QuoteChar">
    <w:name w:val="Quote Char"/>
    <w:basedOn w:val="DefaultParagraphFont"/>
    <w:link w:val="Quote"/>
    <w:uiPriority w:val="29"/>
    <w:rsid w:val="002C7B92"/>
    <w:rPr>
      <w:i/>
      <w:iCs/>
      <w:color w:val="404040" w:themeColor="text1" w:themeTint="BF"/>
    </w:rPr>
  </w:style>
  <w:style w:type="paragraph" w:styleId="ListParagraph">
    <w:name w:val="List Paragraph"/>
    <w:basedOn w:val="Normal"/>
    <w:uiPriority w:val="34"/>
    <w:qFormat/>
    <w:rsid w:val="002C7B92"/>
    <w:pPr>
      <w:ind w:left="720"/>
      <w:contextualSpacing/>
    </w:pPr>
  </w:style>
  <w:style w:type="character" w:styleId="IntenseEmphasis">
    <w:name w:val="Intense Emphasis"/>
    <w:basedOn w:val="DefaultParagraphFont"/>
    <w:uiPriority w:val="21"/>
    <w:qFormat/>
    <w:rsid w:val="002C7B92"/>
    <w:rPr>
      <w:i/>
      <w:iCs/>
      <w:color w:val="0F4761" w:themeColor="accent1" w:themeShade="BF"/>
    </w:rPr>
  </w:style>
  <w:style w:type="paragraph" w:styleId="IntenseQuote">
    <w:name w:val="Intense Quote"/>
    <w:basedOn w:val="Normal"/>
    <w:next w:val="Normal"/>
    <w:link w:val="IntenseQuoteChar"/>
    <w:uiPriority w:val="30"/>
    <w:qFormat/>
    <w:rsid w:val="002C7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B92"/>
    <w:rPr>
      <w:i/>
      <w:iCs/>
      <w:color w:val="0F4761" w:themeColor="accent1" w:themeShade="BF"/>
    </w:rPr>
  </w:style>
  <w:style w:type="character" w:styleId="IntenseReference">
    <w:name w:val="Intense Reference"/>
    <w:basedOn w:val="DefaultParagraphFont"/>
    <w:uiPriority w:val="32"/>
    <w:qFormat/>
    <w:rsid w:val="002C7B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JNJ</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Alexandre [MEDBR]</dc:creator>
  <cp:keywords/>
  <dc:description/>
  <cp:lastModifiedBy>Franco, Alexandre [MEDBR]</cp:lastModifiedBy>
  <cp:revision>1</cp:revision>
  <dcterms:created xsi:type="dcterms:W3CDTF">2026-08-18T22:43:00Z</dcterms:created>
  <dcterms:modified xsi:type="dcterms:W3CDTF">2026-08-19T14:36:00Z</dcterms:modified>
</cp:coreProperties>
</file>