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9CFE2" w14:textId="77777777" w:rsidR="006F3E76" w:rsidRPr="00007255" w:rsidRDefault="00007255">
      <w:pPr>
        <w:pStyle w:val="Title"/>
        <w:rPr>
          <w:rFonts w:ascii="Aptos" w:hAnsi="Aptos"/>
          <w:color w:val="D71920"/>
        </w:rPr>
      </w:pPr>
      <w:r w:rsidRPr="00007255">
        <w:rPr>
          <w:rFonts w:ascii="Aptos" w:hAnsi="Aptos"/>
          <w:b/>
          <w:bCs/>
          <w:color w:val="D71920"/>
        </w:rPr>
        <w:t>Supply Chain Issues Review</w:t>
      </w:r>
    </w:p>
    <w:p w14:paraId="76914A67" w14:textId="77777777" w:rsidR="00007255" w:rsidRPr="00007255" w:rsidRDefault="00007255">
      <w:pPr>
        <w:pStyle w:val="Subtitle"/>
        <w:rPr>
          <w:rFonts w:ascii="Aptos" w:hAnsi="Aptos"/>
          <w:color w:val="333333"/>
        </w:rPr>
      </w:pPr>
      <w:r w:rsidRPr="00007255">
        <w:rPr>
          <w:rFonts w:ascii="Aptos" w:hAnsi="Aptos"/>
          <w:b/>
          <w:bCs/>
          <w:color w:val="333333"/>
        </w:rPr>
        <w:t>Johnson &amp; Johnson MedTech Surgery | FDA Compliance and Supply Continuity Assessment</w:t>
      </w:r>
    </w:p>
    <w:p w14:paraId="05C9CD0D" w14:textId="77777777" w:rsidR="00007255" w:rsidRPr="00007255" w:rsidRDefault="00007255">
      <w:pPr>
        <w:rPr>
          <w:color w:val="666666"/>
          <w:sz w:val="20"/>
          <w:szCs w:val="20"/>
        </w:rPr>
      </w:pPr>
      <w:r w:rsidRPr="00007255">
        <w:rPr>
          <w:color w:val="666666"/>
          <w:sz w:val="20"/>
          <w:szCs w:val="20"/>
        </w:rPr>
        <w:t>Prepared for cross-functional review by Procurement, Quality Assurance, Regulatory Affairs, and Supply Chain Management.</w:t>
      </w:r>
    </w:p>
    <w:p w14:paraId="07402E04" w14:textId="77777777" w:rsidR="00007255" w:rsidRPr="00007255" w:rsidRDefault="00007255">
      <w:pPr>
        <w:pStyle w:val="Heading1"/>
        <w:rPr>
          <w:rFonts w:ascii="Aptos" w:hAnsi="Aptos" w:cstheme="minorBidi"/>
          <w:color w:val="D71920"/>
          <w:sz w:val="36"/>
          <w:szCs w:val="36"/>
        </w:rPr>
      </w:pPr>
      <w:r w:rsidRPr="00007255">
        <w:rPr>
          <w:rFonts w:ascii="Aptos" w:hAnsi="Aptos" w:cstheme="minorBidi"/>
          <w:color w:val="D71920"/>
          <w:sz w:val="36"/>
          <w:szCs w:val="36"/>
        </w:rPr>
        <w:t>Introduction</w:t>
      </w:r>
    </w:p>
    <w:p w14:paraId="5DCCB340" w14:textId="77777777" w:rsidR="00007255" w:rsidRPr="00007255" w:rsidRDefault="00007255">
      <w:r w:rsidRPr="00007255">
        <w:t>This report reviews urgent supply chain issues affecting three critical components—BIND567, COMP042, and COMP043—and evaluates their potential impact on FDA compliance, production continuity, product quality, and supplier reliability. The assessment is based on the escalation email from Maria, Supply Chain Coordinator, and the supporting supply chain dataset and analysis provided in the attached Excel file.</w:t>
      </w:r>
    </w:p>
    <w:p w14:paraId="0777AEFA" w14:textId="77777777" w:rsidR="00007255" w:rsidRPr="00007255" w:rsidRDefault="00007255">
      <w:r w:rsidRPr="00007255">
        <w:t>The review confirms that the business problem is not limited to isolated supplier delays. The issues span quality control failures, traceability gaps, inconsistent delivery performance, inventory risk, and potential regulatory exposure. Immediate cross-functional intervention is required to stabilize supply, validate current batches, strengthen documentation, and reduce the risk of production disruption.</w:t>
      </w:r>
    </w:p>
    <w:p w14:paraId="7EB943C2" w14:textId="77777777" w:rsidR="00007255" w:rsidRPr="00007255" w:rsidRDefault="00007255">
      <w:pPr>
        <w:pStyle w:val="Heading1"/>
        <w:rPr>
          <w:rFonts w:ascii="Aptos" w:hAnsi="Aptos" w:cstheme="minorBidi"/>
          <w:color w:val="D71920"/>
          <w:sz w:val="36"/>
          <w:szCs w:val="36"/>
        </w:rPr>
      </w:pPr>
      <w:r w:rsidRPr="00007255">
        <w:rPr>
          <w:rFonts w:ascii="Aptos" w:hAnsi="Aptos" w:cstheme="minorBidi"/>
          <w:color w:val="D71920"/>
          <w:sz w:val="36"/>
          <w:szCs w:val="36"/>
        </w:rPr>
        <w:t>Outline of the Business Problem</w:t>
      </w:r>
    </w:p>
    <w:p w14:paraId="119DCCF5" w14:textId="77777777" w:rsidR="00007255" w:rsidRPr="00007255" w:rsidRDefault="00007255">
      <w:r w:rsidRPr="00007255">
        <w:t>The current situation presents a consolidated FDA compliance and supply continuity risk across three components used in regulated production. While the Excel analysis rates all three components as medium risk, the escalation email indicates that operational severity is increasing due to overlapping quality, logistics, and supplier performance failures.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6"/>
        <w:gridCol w:w="1654"/>
        <w:gridCol w:w="2240"/>
        <w:gridCol w:w="1938"/>
        <w:gridCol w:w="2096"/>
      </w:tblGrid>
      <w:tr w:rsidR="00007255" w:rsidRPr="00007255" w14:paraId="21A86ECE" w14:textId="77777777">
        <w:tc>
          <w:tcPr>
            <w:tcW w:w="0" w:type="auto"/>
            <w:tcBorders>
              <w:top w:val="outset" w:sz="6" w:space="0" w:color="auto"/>
              <w:left w:val="outset" w:sz="6" w:space="0" w:color="auto"/>
              <w:bottom w:val="outset" w:sz="6" w:space="0" w:color="auto"/>
              <w:right w:val="outset" w:sz="6" w:space="0" w:color="auto"/>
            </w:tcBorders>
            <w:shd w:val="clear" w:color="auto" w:fill="D71920"/>
            <w:vAlign w:val="center"/>
            <w:hideMark/>
          </w:tcPr>
          <w:p w14:paraId="2737E1A0" w14:textId="77777777" w:rsidR="00007255" w:rsidRPr="00007255" w:rsidRDefault="00007255">
            <w:pPr>
              <w:rPr>
                <w:color w:val="FFFFFF"/>
              </w:rPr>
            </w:pPr>
            <w:r w:rsidRPr="00007255">
              <w:rPr>
                <w:b/>
                <w:bCs/>
                <w:color w:val="FFFFFF"/>
              </w:rPr>
              <w:t>Component</w:t>
            </w:r>
          </w:p>
        </w:tc>
        <w:tc>
          <w:tcPr>
            <w:tcW w:w="0" w:type="auto"/>
            <w:tcBorders>
              <w:top w:val="outset" w:sz="6" w:space="0" w:color="auto"/>
              <w:left w:val="outset" w:sz="6" w:space="0" w:color="auto"/>
              <w:bottom w:val="outset" w:sz="6" w:space="0" w:color="auto"/>
              <w:right w:val="outset" w:sz="6" w:space="0" w:color="auto"/>
            </w:tcBorders>
            <w:shd w:val="clear" w:color="auto" w:fill="D71920"/>
            <w:vAlign w:val="center"/>
            <w:hideMark/>
          </w:tcPr>
          <w:p w14:paraId="25D78E6B" w14:textId="77777777" w:rsidR="00007255" w:rsidRPr="00007255" w:rsidRDefault="00007255">
            <w:pPr>
              <w:rPr>
                <w:color w:val="FFFFFF"/>
              </w:rPr>
            </w:pPr>
            <w:r w:rsidRPr="00007255">
              <w:rPr>
                <w:b/>
                <w:bCs/>
                <w:color w:val="FFFFFF"/>
              </w:rPr>
              <w:t>Supplier</w:t>
            </w:r>
          </w:p>
        </w:tc>
        <w:tc>
          <w:tcPr>
            <w:tcW w:w="0" w:type="auto"/>
            <w:tcBorders>
              <w:top w:val="outset" w:sz="6" w:space="0" w:color="auto"/>
              <w:left w:val="outset" w:sz="6" w:space="0" w:color="auto"/>
              <w:bottom w:val="outset" w:sz="6" w:space="0" w:color="auto"/>
              <w:right w:val="outset" w:sz="6" w:space="0" w:color="auto"/>
            </w:tcBorders>
            <w:shd w:val="clear" w:color="auto" w:fill="D71920"/>
            <w:vAlign w:val="center"/>
            <w:hideMark/>
          </w:tcPr>
          <w:p w14:paraId="597F69CC" w14:textId="77777777" w:rsidR="00007255" w:rsidRPr="00007255" w:rsidRDefault="00007255">
            <w:pPr>
              <w:rPr>
                <w:color w:val="FFFFFF"/>
              </w:rPr>
            </w:pPr>
            <w:r w:rsidRPr="00007255">
              <w:rPr>
                <w:b/>
                <w:bCs/>
                <w:color w:val="FFFFFF"/>
              </w:rPr>
              <w:t>Key Issue</w:t>
            </w:r>
          </w:p>
        </w:tc>
        <w:tc>
          <w:tcPr>
            <w:tcW w:w="0" w:type="auto"/>
            <w:tcBorders>
              <w:top w:val="outset" w:sz="6" w:space="0" w:color="auto"/>
              <w:left w:val="outset" w:sz="6" w:space="0" w:color="auto"/>
              <w:bottom w:val="outset" w:sz="6" w:space="0" w:color="auto"/>
              <w:right w:val="outset" w:sz="6" w:space="0" w:color="auto"/>
            </w:tcBorders>
            <w:shd w:val="clear" w:color="auto" w:fill="D71920"/>
            <w:vAlign w:val="center"/>
            <w:hideMark/>
          </w:tcPr>
          <w:p w14:paraId="080AA987" w14:textId="77777777" w:rsidR="00007255" w:rsidRPr="00007255" w:rsidRDefault="00007255">
            <w:pPr>
              <w:rPr>
                <w:color w:val="FFFFFF"/>
              </w:rPr>
            </w:pPr>
            <w:r w:rsidRPr="00007255">
              <w:rPr>
                <w:b/>
                <w:bCs/>
                <w:color w:val="FFFFFF"/>
              </w:rPr>
              <w:t>Supporting Data</w:t>
            </w:r>
          </w:p>
        </w:tc>
        <w:tc>
          <w:tcPr>
            <w:tcW w:w="0" w:type="auto"/>
            <w:tcBorders>
              <w:top w:val="outset" w:sz="6" w:space="0" w:color="auto"/>
              <w:left w:val="outset" w:sz="6" w:space="0" w:color="auto"/>
              <w:bottom w:val="outset" w:sz="6" w:space="0" w:color="auto"/>
              <w:right w:val="outset" w:sz="6" w:space="0" w:color="auto"/>
            </w:tcBorders>
            <w:shd w:val="clear" w:color="auto" w:fill="D71920"/>
            <w:vAlign w:val="center"/>
            <w:hideMark/>
          </w:tcPr>
          <w:p w14:paraId="1C166188" w14:textId="77777777" w:rsidR="00007255" w:rsidRPr="00007255" w:rsidRDefault="00007255">
            <w:pPr>
              <w:rPr>
                <w:color w:val="FFFFFF"/>
              </w:rPr>
            </w:pPr>
            <w:r w:rsidRPr="00007255">
              <w:rPr>
                <w:b/>
                <w:bCs/>
                <w:color w:val="FFFFFF"/>
              </w:rPr>
              <w:t>Compliance / Business Risk</w:t>
            </w:r>
          </w:p>
        </w:tc>
      </w:tr>
      <w:tr w:rsidR="00007255" w:rsidRPr="00007255" w14:paraId="6F7E62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AFAADA" w14:textId="77777777" w:rsidR="00007255" w:rsidRPr="00007255" w:rsidRDefault="00007255">
            <w:r w:rsidRPr="00007255">
              <w:rPr>
                <w:b/>
                <w:bCs/>
              </w:rPr>
              <w:t>BIND567</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A5B1D" w14:textId="77777777" w:rsidR="00007255" w:rsidRPr="00007255" w:rsidRDefault="00007255">
            <w:proofErr w:type="spellStart"/>
            <w:r w:rsidRPr="00007255">
              <w:t>EcoSupply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C65349" w14:textId="77777777" w:rsidR="00007255" w:rsidRPr="00007255" w:rsidRDefault="00007255">
            <w:r w:rsidRPr="00007255">
              <w:t xml:space="preserve">Quality inconsistencies, molecular stability concerns, confirmed delay close to critical </w:t>
            </w:r>
            <w:r w:rsidRPr="00007255">
              <w:lastRenderedPageBreak/>
              <w:t>production deadlines.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5D2A4" w14:textId="77777777" w:rsidR="00007255" w:rsidRPr="00007255" w:rsidRDefault="00007255">
            <w:r w:rsidRPr="00007255">
              <w:lastRenderedPageBreak/>
              <w:t xml:space="preserve">Receipt date: 12/15/2024; defect rate: 2.91%; supplier reliability: 99%; on-time delivery: 99%; lead time </w:t>
            </w:r>
            <w:r w:rsidRPr="00007255">
              <w:lastRenderedPageBreak/>
              <w:t>variance: 26 days.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E9D1E" w14:textId="77777777" w:rsidR="00007255" w:rsidRPr="00007255" w:rsidRDefault="00007255">
            <w:r w:rsidRPr="00007255">
              <w:lastRenderedPageBreak/>
              <w:t xml:space="preserve">Potential production delays, defective output, product efficacy concerns, and increased FDA </w:t>
            </w:r>
            <w:r w:rsidRPr="00007255">
              <w:lastRenderedPageBreak/>
              <w:t>compliance exposure.</w:t>
            </w:r>
          </w:p>
        </w:tc>
      </w:tr>
      <w:tr w:rsidR="00007255" w:rsidRPr="00007255" w14:paraId="6052D4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A65F43" w14:textId="77777777" w:rsidR="00007255" w:rsidRPr="00007255" w:rsidRDefault="00007255">
            <w:r w:rsidRPr="00007255">
              <w:rPr>
                <w:b/>
                <w:bCs/>
              </w:rPr>
              <w:lastRenderedPageBreak/>
              <w:t>COMP042</w:t>
            </w:r>
          </w:p>
        </w:tc>
        <w:tc>
          <w:tcPr>
            <w:tcW w:w="0" w:type="auto"/>
            <w:tcBorders>
              <w:top w:val="outset" w:sz="6" w:space="0" w:color="auto"/>
              <w:left w:val="outset" w:sz="6" w:space="0" w:color="auto"/>
              <w:bottom w:val="outset" w:sz="6" w:space="0" w:color="auto"/>
              <w:right w:val="outset" w:sz="6" w:space="0" w:color="auto"/>
            </w:tcBorders>
            <w:vAlign w:val="center"/>
            <w:hideMark/>
          </w:tcPr>
          <w:p w14:paraId="2FA171AC" w14:textId="77777777" w:rsidR="00007255" w:rsidRPr="00007255" w:rsidRDefault="00007255">
            <w:proofErr w:type="spellStart"/>
            <w:r w:rsidRPr="00007255">
              <w:t>PrimeLogistics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F928F47" w14:textId="77777777" w:rsidR="00007255" w:rsidRPr="00007255" w:rsidRDefault="00007255">
            <w:r w:rsidRPr="00007255">
              <w:t xml:space="preserve">Delivery delays, </w:t>
            </w:r>
            <w:proofErr w:type="gramStart"/>
            <w:r w:rsidRPr="00007255">
              <w:t>incorrect lot</w:t>
            </w:r>
            <w:proofErr w:type="gramEnd"/>
            <w:r w:rsidRPr="00007255">
              <w:t xml:space="preserve"> numbers, documentation and traceability gaps.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F6EB0" w14:textId="77777777" w:rsidR="00007255" w:rsidRPr="00007255" w:rsidRDefault="00007255">
            <w:r w:rsidRPr="00007255">
              <w:t>Receipt date: 12/18/2024; delivery timeline: 13 days; supplier reliability: 92%; on-time delivery: 86%; quality inspection pass rate: 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960BE2" w14:textId="77777777" w:rsidR="00007255" w:rsidRPr="00007255" w:rsidRDefault="00007255">
            <w:r w:rsidRPr="00007255">
              <w:t>Traceability failure risk, possible contamination concerns, production bottlenecks, and increased operational cost.</w:t>
            </w:r>
          </w:p>
        </w:tc>
      </w:tr>
      <w:tr w:rsidR="00007255" w:rsidRPr="00007255" w14:paraId="302BF39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BED97E" w14:textId="77777777" w:rsidR="00007255" w:rsidRPr="00007255" w:rsidRDefault="00007255">
            <w:r w:rsidRPr="00007255">
              <w:rPr>
                <w:b/>
                <w:bCs/>
              </w:rPr>
              <w:t>COMP043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A915E" w14:textId="77777777" w:rsidR="00007255" w:rsidRPr="00007255" w:rsidRDefault="00007255">
            <w:r w:rsidRPr="00007255">
              <w:t>NextGen Pharma</w:t>
            </w:r>
          </w:p>
        </w:tc>
        <w:tc>
          <w:tcPr>
            <w:tcW w:w="0" w:type="auto"/>
            <w:tcBorders>
              <w:top w:val="outset" w:sz="6" w:space="0" w:color="auto"/>
              <w:left w:val="outset" w:sz="6" w:space="0" w:color="auto"/>
              <w:bottom w:val="outset" w:sz="6" w:space="0" w:color="auto"/>
              <w:right w:val="outset" w:sz="6" w:space="0" w:color="auto"/>
            </w:tcBorders>
            <w:vAlign w:val="center"/>
            <w:hideMark/>
          </w:tcPr>
          <w:p w14:paraId="1297676B" w14:textId="77777777" w:rsidR="00007255" w:rsidRPr="00007255" w:rsidRDefault="00007255">
            <w:r w:rsidRPr="00007255">
              <w:t xml:space="preserve">Supplier GMP </w:t>
            </w:r>
            <w:proofErr w:type="gramStart"/>
            <w:r w:rsidRPr="00007255">
              <w:t>concerns,</w:t>
            </w:r>
            <w:proofErr w:type="gramEnd"/>
            <w:r w:rsidRPr="00007255">
              <w:t xml:space="preserve"> purity failures, erratic delivery schedules, and stockout 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7240D" w14:textId="77777777" w:rsidR="00007255" w:rsidRPr="00007255" w:rsidRDefault="00007255">
            <w:r w:rsidRPr="00007255">
              <w:t>Receipt date: 12/19/2024; defect rate: 4.89%; supplier reliability: 94%; forecast accuracy: 80%; quality inspection pass rate: 94%.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ED8B1" w14:textId="77777777" w:rsidR="00007255" w:rsidRPr="00007255" w:rsidRDefault="00007255">
            <w:r w:rsidRPr="00007255">
              <w:t>Risk of batch rejection, inventory disruption, production delays, and potential regulatory escalation.</w:t>
            </w:r>
          </w:p>
        </w:tc>
      </w:tr>
    </w:tbl>
    <w:p w14:paraId="6A94FD7C" w14:textId="77777777" w:rsidR="00007255" w:rsidRPr="00007255" w:rsidRDefault="00007255"/>
    <w:p w14:paraId="7B0E9432" w14:textId="77777777" w:rsidR="00007255" w:rsidRPr="00007255" w:rsidRDefault="00007255">
      <w:r w:rsidRPr="00007255">
        <w:t>Across the three components, the most critical business issues are: inconsistent quality performance, insufficient traceability, supplier delivery variability, inventory planning weaknesses, and limited contingency planning. These issues create a cascading risk profile in which one supplier or component failure can quickly affect production throughput, inspection capacity, release timelines, and regulatory confidence.</w:t>
      </w:r>
    </w:p>
    <w:p w14:paraId="1413450A" w14:textId="77777777" w:rsidR="00007255" w:rsidRPr="00007255" w:rsidRDefault="00007255">
      <w:pPr>
        <w:pStyle w:val="Heading1"/>
        <w:rPr>
          <w:rFonts w:ascii="Aptos" w:hAnsi="Aptos" w:cstheme="minorBidi"/>
          <w:color w:val="D71920"/>
          <w:sz w:val="36"/>
          <w:szCs w:val="36"/>
        </w:rPr>
      </w:pPr>
      <w:r w:rsidRPr="00007255">
        <w:rPr>
          <w:rFonts w:ascii="Aptos" w:hAnsi="Aptos" w:cstheme="minorBidi"/>
          <w:color w:val="D71920"/>
          <w:sz w:val="36"/>
          <w:szCs w:val="36"/>
        </w:rPr>
        <w:t>Action Items</w:t>
      </w:r>
    </w:p>
    <w:p w14:paraId="71B989F7" w14:textId="77777777" w:rsidR="00007255" w:rsidRPr="00007255" w:rsidRDefault="00007255">
      <w:r w:rsidRPr="00007255">
        <w:t>The following action plan is designed to stabilize current production risk, protect FDA compliance, and establish a stronger supplier control framework.</w:t>
      </w:r>
    </w:p>
    <w:p w14:paraId="21E74602" w14:textId="77777777" w:rsidR="00007255" w:rsidRPr="00007255" w:rsidRDefault="00007255" w:rsidP="00007255">
      <w:pPr>
        <w:pStyle w:val="ListParagraph"/>
        <w:numPr>
          <w:ilvl w:val="0"/>
          <w:numId w:val="1"/>
        </w:numPr>
      </w:pPr>
      <w:r w:rsidRPr="00007255">
        <w:rPr>
          <w:b/>
          <w:bCs/>
        </w:rPr>
        <w:t>Convene an immediate cross-functional review meeting.</w:t>
      </w:r>
      <w:r w:rsidRPr="00007255">
        <w:t xml:space="preserve"> Include Procurement, Quality Assurance, Regulatory Affairs, Supply Chain Management, Manufacturing, </w:t>
      </w:r>
      <w:r w:rsidRPr="00007255">
        <w:lastRenderedPageBreak/>
        <w:t>and Supplier Quality to align on risk ownership, decision rights, and escalation paths.</w:t>
      </w:r>
    </w:p>
    <w:p w14:paraId="40756E47" w14:textId="77777777" w:rsidR="00007255" w:rsidRPr="00007255" w:rsidRDefault="00007255" w:rsidP="00007255">
      <w:pPr>
        <w:pStyle w:val="ListParagraph"/>
        <w:numPr>
          <w:ilvl w:val="0"/>
          <w:numId w:val="1"/>
        </w:numPr>
      </w:pPr>
      <w:r w:rsidRPr="00007255">
        <w:rPr>
          <w:b/>
          <w:bCs/>
        </w:rPr>
        <w:t>Place current BIND567, COMP042, and COMP043 batches under enhanced quality review.</w:t>
      </w:r>
      <w:r w:rsidRPr="00007255">
        <w:t xml:space="preserve"> Validate molecular stability, purity results, lot documentation, inspection outcomes, and deviation records before production release.</w:t>
      </w:r>
    </w:p>
    <w:p w14:paraId="7414726E" w14:textId="77777777" w:rsidR="00007255" w:rsidRPr="00007255" w:rsidRDefault="00007255" w:rsidP="00007255">
      <w:pPr>
        <w:pStyle w:val="ListParagraph"/>
        <w:numPr>
          <w:ilvl w:val="0"/>
          <w:numId w:val="1"/>
        </w:numPr>
      </w:pPr>
      <w:r w:rsidRPr="00007255">
        <w:rPr>
          <w:b/>
          <w:bCs/>
        </w:rPr>
        <w:t>Complete a traceability reconciliation for COMP042.</w:t>
      </w:r>
      <w:r w:rsidRPr="00007255">
        <w:t xml:space="preserve"> Verify lot numbers, certificates of analysis, supplier documentation, shipping records, and handling history to close documentation gaps and confirm component origin.</w:t>
      </w:r>
    </w:p>
    <w:p w14:paraId="4F76E198" w14:textId="77777777" w:rsidR="00007255" w:rsidRPr="00007255" w:rsidRDefault="00007255" w:rsidP="00007255">
      <w:pPr>
        <w:pStyle w:val="ListParagraph"/>
        <w:numPr>
          <w:ilvl w:val="0"/>
          <w:numId w:val="1"/>
        </w:numPr>
      </w:pPr>
      <w:r w:rsidRPr="00007255">
        <w:rPr>
          <w:b/>
          <w:bCs/>
        </w:rPr>
        <w:t>Launch supplier corrective action plans.</w:t>
      </w:r>
      <w:r w:rsidRPr="00007255">
        <w:t xml:space="preserve"> Require </w:t>
      </w:r>
      <w:proofErr w:type="spellStart"/>
      <w:r w:rsidRPr="00007255">
        <w:t>EcoSupply</w:t>
      </w:r>
      <w:proofErr w:type="spellEnd"/>
      <w:r w:rsidRPr="00007255">
        <w:t xml:space="preserve">, </w:t>
      </w:r>
      <w:proofErr w:type="spellStart"/>
      <w:r w:rsidRPr="00007255">
        <w:t>PrimeLogistics</w:t>
      </w:r>
      <w:proofErr w:type="spellEnd"/>
      <w:r w:rsidRPr="00007255">
        <w:t>, and NextGen Pharma to provide root cause analysis, containment actions, and preventive measures with defined completion dates.</w:t>
      </w:r>
    </w:p>
    <w:p w14:paraId="1EB952F9" w14:textId="77777777" w:rsidR="00007255" w:rsidRPr="00007255" w:rsidRDefault="00007255" w:rsidP="00007255">
      <w:pPr>
        <w:pStyle w:val="ListParagraph"/>
        <w:numPr>
          <w:ilvl w:val="0"/>
          <w:numId w:val="1"/>
        </w:numPr>
      </w:pPr>
      <w:r w:rsidRPr="00007255">
        <w:rPr>
          <w:b/>
          <w:bCs/>
        </w:rPr>
        <w:t>Strengthen inventory and replenishment controls.</w:t>
      </w:r>
      <w:r w:rsidRPr="00007255">
        <w:t xml:space="preserve"> Increase safety stock for vulnerable components, adjust reorder cycles for lead time variability, and evaluate dynamic replenishment models for COMP043.</w:t>
      </w:r>
    </w:p>
    <w:p w14:paraId="46B0CA43" w14:textId="77777777" w:rsidR="00007255" w:rsidRPr="00007255" w:rsidRDefault="00007255" w:rsidP="00007255">
      <w:pPr>
        <w:pStyle w:val="ListParagraph"/>
        <w:numPr>
          <w:ilvl w:val="0"/>
          <w:numId w:val="1"/>
        </w:numPr>
      </w:pPr>
      <w:r w:rsidRPr="00007255">
        <w:rPr>
          <w:b/>
          <w:bCs/>
        </w:rPr>
        <w:t>Assess alternate qualified suppliers.</w:t>
      </w:r>
      <w:r w:rsidRPr="00007255">
        <w:t xml:space="preserve"> Begin contingency sourcing review for components with recurring quality or delivery instability, ensuring all alternatives meet quality, regulatory, and technical specifications.</w:t>
      </w:r>
    </w:p>
    <w:p w14:paraId="074C41D6" w14:textId="77777777" w:rsidR="00007255" w:rsidRPr="00007255" w:rsidRDefault="00007255" w:rsidP="00007255">
      <w:pPr>
        <w:pStyle w:val="ListParagraph"/>
        <w:numPr>
          <w:ilvl w:val="0"/>
          <w:numId w:val="1"/>
        </w:numPr>
      </w:pPr>
      <w:r w:rsidRPr="00007255">
        <w:rPr>
          <w:b/>
          <w:bCs/>
        </w:rPr>
        <w:t>Implement weekly executive-level tracking until stabilization.</w:t>
      </w:r>
      <w:r w:rsidRPr="00007255">
        <w:t xml:space="preserve"> Monitor defect rate, inspection pass rate, lead time variance, forecast accuracy, inventory level, backorder volume, and supplier reliability.</w:t>
      </w:r>
    </w:p>
    <w:p w14:paraId="00A03DAC" w14:textId="77777777" w:rsidR="00007255" w:rsidRPr="00007255" w:rsidRDefault="00007255">
      <w:pPr>
        <w:pStyle w:val="Heading1"/>
        <w:rPr>
          <w:rFonts w:ascii="Aptos" w:hAnsi="Aptos" w:cstheme="minorBidi"/>
          <w:color w:val="D71920"/>
          <w:sz w:val="36"/>
          <w:szCs w:val="36"/>
        </w:rPr>
      </w:pPr>
      <w:r w:rsidRPr="00007255">
        <w:rPr>
          <w:rFonts w:ascii="Aptos" w:hAnsi="Aptos" w:cstheme="minorBidi"/>
          <w:color w:val="D71920"/>
          <w:sz w:val="36"/>
          <w:szCs w:val="36"/>
        </w:rPr>
        <w:t>Conclusion</w:t>
      </w:r>
    </w:p>
    <w:p w14:paraId="2B841167" w14:textId="77777777" w:rsidR="00007255" w:rsidRPr="00007255" w:rsidRDefault="00007255">
      <w:r w:rsidRPr="00007255">
        <w:t>The supply chain issues affecting BIND567, COMP042, and COMP043 represent a material compliance and operational risk. Although the dataset classifies the components as medium risk, the qualitative escalation indicates that risk severity is increasing due to interconnected failures in quality consistency, supplier performance, traceability, and inventory resilience.</w:t>
      </w:r>
    </w:p>
    <w:p w14:paraId="3834A5AA" w14:textId="77777777" w:rsidR="00007255" w:rsidRDefault="00007255">
      <w:r w:rsidRPr="00007255">
        <w:t>The recommended response is to act immediately through a coordinated cross-functional remediation plan. Priority should be placed on validating current batches, closing documentation and traceability gaps, enforcing supplier corrective actions, and securing reliable supply alternatives. This approach will reduce FDA compliance exposure, protect production continuity, and support Johnson &amp; Johnson MedTech Surgery’s commitment to quality, reliability, and patient-centered outcomes.</w:t>
      </w:r>
    </w:p>
    <w:p w14:paraId="669AAC94" w14:textId="77777777" w:rsidR="006F3E76" w:rsidRDefault="006F3E76"/>
    <w:sectPr w:rsidR="006F3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31DBF"/>
    <w:multiLevelType w:val="multilevel"/>
    <w:tmpl w:val="0C26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05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01E"/>
    <w:rsid w:val="00007255"/>
    <w:rsid w:val="003036D1"/>
    <w:rsid w:val="00505171"/>
    <w:rsid w:val="006F3E76"/>
    <w:rsid w:val="00862BAB"/>
    <w:rsid w:val="0090601E"/>
    <w:rsid w:val="00E0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4877"/>
  <w15:chartTrackingRefBased/>
  <w15:docId w15:val="{FC485640-02B6-48C4-8C52-5887D7E8B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01E"/>
    <w:rPr>
      <w:rFonts w:eastAsiaTheme="majorEastAsia" w:cstheme="majorBidi"/>
      <w:color w:val="272727" w:themeColor="text1" w:themeTint="D8"/>
    </w:rPr>
  </w:style>
  <w:style w:type="paragraph" w:styleId="Title">
    <w:name w:val="Title"/>
    <w:basedOn w:val="Normal"/>
    <w:next w:val="Normal"/>
    <w:link w:val="TitleChar"/>
    <w:uiPriority w:val="10"/>
    <w:qFormat/>
    <w:rsid w:val="0090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01E"/>
    <w:pPr>
      <w:spacing w:before="160"/>
      <w:jc w:val="center"/>
    </w:pPr>
    <w:rPr>
      <w:i/>
      <w:iCs/>
      <w:color w:val="404040" w:themeColor="text1" w:themeTint="BF"/>
    </w:rPr>
  </w:style>
  <w:style w:type="character" w:customStyle="1" w:styleId="QuoteChar">
    <w:name w:val="Quote Char"/>
    <w:basedOn w:val="DefaultParagraphFont"/>
    <w:link w:val="Quote"/>
    <w:uiPriority w:val="29"/>
    <w:rsid w:val="0090601E"/>
    <w:rPr>
      <w:i/>
      <w:iCs/>
      <w:color w:val="404040" w:themeColor="text1" w:themeTint="BF"/>
    </w:rPr>
  </w:style>
  <w:style w:type="paragraph" w:styleId="ListParagraph">
    <w:name w:val="List Paragraph"/>
    <w:basedOn w:val="Normal"/>
    <w:uiPriority w:val="34"/>
    <w:qFormat/>
    <w:rsid w:val="0090601E"/>
    <w:pPr>
      <w:ind w:left="720"/>
      <w:contextualSpacing/>
    </w:pPr>
  </w:style>
  <w:style w:type="character" w:styleId="IntenseEmphasis">
    <w:name w:val="Intense Emphasis"/>
    <w:basedOn w:val="DefaultParagraphFont"/>
    <w:uiPriority w:val="21"/>
    <w:qFormat/>
    <w:rsid w:val="0090601E"/>
    <w:rPr>
      <w:i/>
      <w:iCs/>
      <w:color w:val="0F4761" w:themeColor="accent1" w:themeShade="BF"/>
    </w:rPr>
  </w:style>
  <w:style w:type="paragraph" w:styleId="IntenseQuote">
    <w:name w:val="Intense Quote"/>
    <w:basedOn w:val="Normal"/>
    <w:next w:val="Normal"/>
    <w:link w:val="IntenseQuoteChar"/>
    <w:uiPriority w:val="30"/>
    <w:qFormat/>
    <w:rsid w:val="00906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01E"/>
    <w:rPr>
      <w:i/>
      <w:iCs/>
      <w:color w:val="0F4761" w:themeColor="accent1" w:themeShade="BF"/>
    </w:rPr>
  </w:style>
  <w:style w:type="character" w:styleId="IntenseReference">
    <w:name w:val="Intense Reference"/>
    <w:basedOn w:val="DefaultParagraphFont"/>
    <w:uiPriority w:val="32"/>
    <w:qFormat/>
    <w:rsid w:val="009060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3</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Alexandre [MEDBR]</dc:creator>
  <cp:keywords/>
  <dc:description/>
  <cp:lastModifiedBy>Franco, Alexandre [MEDBR]</cp:lastModifiedBy>
  <cp:revision>1</cp:revision>
  <dcterms:created xsi:type="dcterms:W3CDTF">2026-08-18T19:47:00Z</dcterms:created>
  <dcterms:modified xsi:type="dcterms:W3CDTF">2026-08-18T20:48:00Z</dcterms:modified>
</cp:coreProperties>
</file>