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48F5" w14:textId="77777777" w:rsidR="00DD4D4C" w:rsidRDefault="006E4AFB">
      <w:pPr>
        <w:jc w:val="center"/>
      </w:pPr>
      <w:r>
        <w:rPr>
          <w:b/>
          <w:color w:val="1F4E79"/>
          <w:sz w:val="40"/>
        </w:rPr>
        <w:t>Supply Chain Issues Review</w:t>
      </w:r>
    </w:p>
    <w:p w14:paraId="7D5C50A6" w14:textId="77777777" w:rsidR="00DD4D4C" w:rsidRDefault="006E4AFB">
      <w:pPr>
        <w:jc w:val="center"/>
      </w:pPr>
      <w:r>
        <w:rPr>
          <w:i/>
          <w:color w:val="595959"/>
          <w:sz w:val="22"/>
        </w:rPr>
        <w:t>Action Plan based on meeting agenda and Teams transcript</w:t>
      </w:r>
    </w:p>
    <w:p w14:paraId="22CB2844" w14:textId="77777777" w:rsidR="00DD4D4C" w:rsidRDefault="006E4AFB">
      <w:pPr>
        <w:pStyle w:val="Heading1"/>
      </w:pPr>
      <w:r>
        <w:rPr>
          <w:color w:val="1F4E79"/>
        </w:rPr>
        <w:t>Executive Context</w:t>
      </w:r>
    </w:p>
    <w:p w14:paraId="712BCD91" w14:textId="77777777" w:rsidR="00DD4D4C" w:rsidRDefault="006E4AFB">
      <w:r>
        <w:rPr>
          <w:b/>
        </w:rPr>
        <w:t xml:space="preserve">Purpose: </w:t>
      </w:r>
      <w:r>
        <w:t>Stabilize the supply chain, reduce production disruption, and address compliance risks related to components BIND567, COMP042, and COMP043.</w:t>
      </w:r>
    </w:p>
    <w:p w14:paraId="674886CB" w14:textId="77777777" w:rsidR="00DD4D4C" w:rsidRDefault="006E4AFB">
      <w:r>
        <w:rPr>
          <w:b/>
        </w:rPr>
        <w:t xml:space="preserve">Primary risks discussed: </w:t>
      </w:r>
      <w:r>
        <w:t>BIND567 quality control failures and molecular inconsistencies; COMP042 logistics and traceability gaps; COMP043 GMP violations, erratic deliveries, and stockouts.</w:t>
      </w:r>
    </w:p>
    <w:p w14:paraId="48C97C8E" w14:textId="77777777" w:rsidR="00DD4D4C" w:rsidRDefault="006E4AFB">
      <w:r>
        <w:rPr>
          <w:b/>
        </w:rPr>
        <w:t xml:space="preserve">Governance approach: </w:t>
      </w:r>
      <w:r>
        <w:t>Use a cross-functional task force with weekly updates, clear owners, supplier escalation, audit discipline, and documented corrective actions.</w:t>
      </w:r>
    </w:p>
    <w:p w14:paraId="552EF161" w14:textId="77777777" w:rsidR="00DD4D4C" w:rsidRDefault="006E4AFB">
      <w:pPr>
        <w:pStyle w:val="Heading1"/>
      </w:pPr>
      <w:r>
        <w:rPr>
          <w:color w:val="1F4E79"/>
        </w:rPr>
        <w:t>Critical Issues Discussed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89"/>
        <w:gridCol w:w="2590"/>
      </w:tblGrid>
      <w:tr w:rsidR="00DD4D4C" w14:paraId="5C4D792D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18089E2F" w14:textId="77777777" w:rsidR="00DD4D4C" w:rsidRDefault="006E4AFB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592" w:type="dxa"/>
            <w:shd w:val="clear" w:color="auto" w:fill="1F4E79"/>
          </w:tcPr>
          <w:p w14:paraId="77CF76ED" w14:textId="77777777" w:rsidR="00DD4D4C" w:rsidRDefault="006E4AFB"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2592" w:type="dxa"/>
            <w:shd w:val="clear" w:color="auto" w:fill="1F4E79"/>
          </w:tcPr>
          <w:p w14:paraId="362F824B" w14:textId="77777777" w:rsidR="00DD4D4C" w:rsidRDefault="006E4AFB">
            <w:r>
              <w:rPr>
                <w:b/>
                <w:color w:val="FFFFFF"/>
                <w:sz w:val="18"/>
              </w:rPr>
              <w:t>Operational / compliance impact</w:t>
            </w:r>
          </w:p>
        </w:tc>
        <w:tc>
          <w:tcPr>
            <w:tcW w:w="2592" w:type="dxa"/>
            <w:shd w:val="clear" w:color="auto" w:fill="1F4E79"/>
          </w:tcPr>
          <w:p w14:paraId="1DFFC452" w14:textId="77777777" w:rsidR="00DD4D4C" w:rsidRDefault="006E4AFB">
            <w:r>
              <w:rPr>
                <w:b/>
                <w:color w:val="FFFFFF"/>
                <w:sz w:val="18"/>
              </w:rPr>
              <w:t>Primary response</w:t>
            </w:r>
          </w:p>
        </w:tc>
      </w:tr>
      <w:tr w:rsidR="00DD4D4C" w14:paraId="28B466D6" w14:textId="77777777">
        <w:trPr>
          <w:jc w:val="center"/>
        </w:trPr>
        <w:tc>
          <w:tcPr>
            <w:tcW w:w="2592" w:type="dxa"/>
          </w:tcPr>
          <w:p w14:paraId="24ED8793" w14:textId="77777777" w:rsidR="00DD4D4C" w:rsidRDefault="006E4AFB">
            <w:r>
              <w:rPr>
                <w:sz w:val="18"/>
              </w:rPr>
              <w:t>BIND567</w:t>
            </w:r>
          </w:p>
        </w:tc>
        <w:tc>
          <w:tcPr>
            <w:tcW w:w="2592" w:type="dxa"/>
          </w:tcPr>
          <w:p w14:paraId="1BE09C7D" w14:textId="77777777" w:rsidR="00DD4D4C" w:rsidRDefault="006E4AFB">
            <w:r>
              <w:rPr>
                <w:sz w:val="18"/>
              </w:rPr>
              <w:t>Inconsistent molecular composition and high rejection risk</w:t>
            </w:r>
          </w:p>
        </w:tc>
        <w:tc>
          <w:tcPr>
            <w:tcW w:w="2592" w:type="dxa"/>
          </w:tcPr>
          <w:p w14:paraId="2F6925C4" w14:textId="77777777" w:rsidR="00DD4D4C" w:rsidRDefault="006E4AFB">
            <w:r>
              <w:rPr>
                <w:sz w:val="18"/>
              </w:rPr>
              <w:t>Production delays, product stability concerns, and FDA compliance exposure</w:t>
            </w:r>
          </w:p>
        </w:tc>
        <w:tc>
          <w:tcPr>
            <w:tcW w:w="2592" w:type="dxa"/>
          </w:tcPr>
          <w:p w14:paraId="386EE624" w14:textId="77777777" w:rsidR="00DD4D4C" w:rsidRDefault="006E4AFB">
            <w:r>
              <w:rPr>
                <w:sz w:val="18"/>
              </w:rPr>
              <w:t>Validate current batches, tighten incoming controls, escalate EcoSupply, and onboard an alternative supplier</w:t>
            </w:r>
          </w:p>
        </w:tc>
      </w:tr>
      <w:tr w:rsidR="00DD4D4C" w14:paraId="7114953C" w14:textId="77777777">
        <w:trPr>
          <w:jc w:val="center"/>
        </w:trPr>
        <w:tc>
          <w:tcPr>
            <w:tcW w:w="2592" w:type="dxa"/>
          </w:tcPr>
          <w:p w14:paraId="3049AF48" w14:textId="77777777" w:rsidR="00DD4D4C" w:rsidRDefault="006E4AFB">
            <w:r>
              <w:rPr>
                <w:sz w:val="18"/>
              </w:rPr>
              <w:t>COMP042</w:t>
            </w:r>
          </w:p>
        </w:tc>
        <w:tc>
          <w:tcPr>
            <w:tcW w:w="2592" w:type="dxa"/>
          </w:tcPr>
          <w:p w14:paraId="49B7A1ED" w14:textId="77777777" w:rsidR="00DD4D4C" w:rsidRDefault="006E4AFB">
            <w:r>
              <w:rPr>
                <w:sz w:val="18"/>
              </w:rPr>
              <w:t>Supply chain delays, missing/incorrect lot documentation, and traceability gaps</w:t>
            </w:r>
          </w:p>
        </w:tc>
        <w:tc>
          <w:tcPr>
            <w:tcW w:w="2592" w:type="dxa"/>
          </w:tcPr>
          <w:p w14:paraId="6FF8BA3C" w14:textId="77777777" w:rsidR="00DD4D4C" w:rsidRDefault="006E4AFB">
            <w:r>
              <w:rPr>
                <w:sz w:val="18"/>
              </w:rPr>
              <w:t>Batch validation blockers, contamination concerns, and production bottlenecks</w:t>
            </w:r>
          </w:p>
        </w:tc>
        <w:tc>
          <w:tcPr>
            <w:tcW w:w="2592" w:type="dxa"/>
          </w:tcPr>
          <w:p w14:paraId="615E005D" w14:textId="77777777" w:rsidR="00DD4D4C" w:rsidRDefault="006E4AFB">
            <w:r>
              <w:rPr>
                <w:sz w:val="18"/>
              </w:rPr>
              <w:t>Audit PrimeLogistics, document traceability gaps, and prepare corrective-action evidence for FDA review</w:t>
            </w:r>
          </w:p>
        </w:tc>
      </w:tr>
      <w:tr w:rsidR="00DD4D4C" w14:paraId="78EFC868" w14:textId="77777777">
        <w:trPr>
          <w:jc w:val="center"/>
        </w:trPr>
        <w:tc>
          <w:tcPr>
            <w:tcW w:w="2592" w:type="dxa"/>
          </w:tcPr>
          <w:p w14:paraId="38C32E7A" w14:textId="77777777" w:rsidR="00DD4D4C" w:rsidRDefault="006E4AFB">
            <w:r>
              <w:rPr>
                <w:sz w:val="18"/>
              </w:rPr>
              <w:t>COMP043</w:t>
            </w:r>
          </w:p>
        </w:tc>
        <w:tc>
          <w:tcPr>
            <w:tcW w:w="2592" w:type="dxa"/>
          </w:tcPr>
          <w:p w14:paraId="2C336BC6" w14:textId="77777777" w:rsidR="00DD4D4C" w:rsidRDefault="006E4AFB">
            <w:r>
              <w:rPr>
                <w:sz w:val="18"/>
              </w:rPr>
              <w:t>Supplier cleanroom protocol gaps, delivery misses, and stockouts</w:t>
            </w:r>
          </w:p>
        </w:tc>
        <w:tc>
          <w:tcPr>
            <w:tcW w:w="2592" w:type="dxa"/>
          </w:tcPr>
          <w:p w14:paraId="1E1AB41D" w14:textId="77777777" w:rsidR="00DD4D4C" w:rsidRDefault="006E4AFB">
            <w:r>
              <w:rPr>
                <w:sz w:val="18"/>
              </w:rPr>
              <w:t>Contamination risk, reduced production continuity, and resource reallocation across product lines</w:t>
            </w:r>
          </w:p>
        </w:tc>
        <w:tc>
          <w:tcPr>
            <w:tcW w:w="2592" w:type="dxa"/>
          </w:tcPr>
          <w:p w14:paraId="09C34D2E" w14:textId="77777777" w:rsidR="00DD4D4C" w:rsidRDefault="006E4AFB">
            <w:r>
              <w:rPr>
                <w:sz w:val="18"/>
              </w:rPr>
              <w:t>Drive supplier remediation while exploring parallel sourcing</w:t>
            </w:r>
          </w:p>
        </w:tc>
      </w:tr>
    </w:tbl>
    <w:p w14:paraId="39421546" w14:textId="77777777" w:rsidR="00DD4D4C" w:rsidRDefault="006E4AFB">
      <w:pPr>
        <w:pStyle w:val="Heading1"/>
      </w:pPr>
      <w:r>
        <w:rPr>
          <w:color w:val="1F4E79"/>
        </w:rPr>
        <w:t>General Strategies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DD4D4C" w14:paraId="4CCB5985" w14:textId="77777777">
        <w:trPr>
          <w:jc w:val="center"/>
        </w:trPr>
        <w:tc>
          <w:tcPr>
            <w:tcW w:w="2592" w:type="dxa"/>
            <w:shd w:val="clear" w:color="auto" w:fill="5B9BD5"/>
          </w:tcPr>
          <w:p w14:paraId="5CE446E2" w14:textId="77777777" w:rsidR="00DD4D4C" w:rsidRDefault="006E4AFB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592" w:type="dxa"/>
            <w:shd w:val="clear" w:color="auto" w:fill="5B9BD5"/>
          </w:tcPr>
          <w:p w14:paraId="468A569D" w14:textId="77777777" w:rsidR="00DD4D4C" w:rsidRDefault="006E4AFB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592" w:type="dxa"/>
            <w:shd w:val="clear" w:color="auto" w:fill="5B9BD5"/>
          </w:tcPr>
          <w:p w14:paraId="56DABE0D" w14:textId="77777777" w:rsidR="00DD4D4C" w:rsidRDefault="006E4AFB"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592" w:type="dxa"/>
            <w:shd w:val="clear" w:color="auto" w:fill="5B9BD5"/>
          </w:tcPr>
          <w:p w14:paraId="2AA8A618" w14:textId="77777777" w:rsidR="00DD4D4C" w:rsidRDefault="006E4AFB">
            <w:r>
              <w:rPr>
                <w:b/>
                <w:color w:val="FFFFFF"/>
                <w:sz w:val="18"/>
              </w:rPr>
              <w:t>Expected outcome / rationale</w:t>
            </w:r>
          </w:p>
        </w:tc>
      </w:tr>
      <w:tr w:rsidR="00DD4D4C" w14:paraId="0AB89269" w14:textId="77777777">
        <w:trPr>
          <w:jc w:val="center"/>
        </w:trPr>
        <w:tc>
          <w:tcPr>
            <w:tcW w:w="2592" w:type="dxa"/>
          </w:tcPr>
          <w:p w14:paraId="6E1C8215" w14:textId="77777777" w:rsidR="00DD4D4C" w:rsidRDefault="006E4AFB">
            <w:r>
              <w:rPr>
                <w:sz w:val="18"/>
              </w:rPr>
              <w:t>Create a cross-functional task force</w:t>
            </w:r>
          </w:p>
        </w:tc>
        <w:tc>
          <w:tcPr>
            <w:tcW w:w="2592" w:type="dxa"/>
          </w:tcPr>
          <w:p w14:paraId="69184F93" w14:textId="77777777" w:rsidR="00DD4D4C" w:rsidRDefault="006E4AFB">
            <w:r>
              <w:rPr>
                <w:sz w:val="18"/>
              </w:rPr>
              <w:t>Sarah Nakamura / team leads</w:t>
            </w:r>
          </w:p>
        </w:tc>
        <w:tc>
          <w:tcPr>
            <w:tcW w:w="2592" w:type="dxa"/>
          </w:tcPr>
          <w:p w14:paraId="331A1F7E" w14:textId="77777777" w:rsidR="00DD4D4C" w:rsidRDefault="006E4AFB">
            <w:r>
              <w:rPr>
                <w:sz w:val="18"/>
              </w:rPr>
              <w:t>All components</w:t>
            </w:r>
          </w:p>
        </w:tc>
        <w:tc>
          <w:tcPr>
            <w:tcW w:w="2592" w:type="dxa"/>
          </w:tcPr>
          <w:p w14:paraId="7A0D42EC" w14:textId="77777777" w:rsidR="00DD4D4C" w:rsidRDefault="006E4AFB">
            <w:r>
              <w:rPr>
                <w:sz w:val="18"/>
              </w:rPr>
              <w:t>Coordinate quality, procurement, production, and supplier remediation workstreams with weekly progress updates.</w:t>
            </w:r>
          </w:p>
        </w:tc>
      </w:tr>
      <w:tr w:rsidR="00DD4D4C" w14:paraId="0033FDD8" w14:textId="77777777">
        <w:trPr>
          <w:jc w:val="center"/>
        </w:trPr>
        <w:tc>
          <w:tcPr>
            <w:tcW w:w="2592" w:type="dxa"/>
          </w:tcPr>
          <w:p w14:paraId="2706AFD1" w14:textId="77777777" w:rsidR="00DD4D4C" w:rsidRDefault="006E4AFB">
            <w:r>
              <w:rPr>
                <w:sz w:val="18"/>
              </w:rPr>
              <w:t>Prioritize FDA compliance readiness</w:t>
            </w:r>
          </w:p>
        </w:tc>
        <w:tc>
          <w:tcPr>
            <w:tcW w:w="2592" w:type="dxa"/>
          </w:tcPr>
          <w:p w14:paraId="34DA0686" w14:textId="77777777" w:rsidR="00DD4D4C" w:rsidRDefault="006E4AFB">
            <w:r>
              <w:rPr>
                <w:sz w:val="18"/>
              </w:rPr>
              <w:t>Maria Sanchez with input from Quality and Production</w:t>
            </w:r>
          </w:p>
        </w:tc>
        <w:tc>
          <w:tcPr>
            <w:tcW w:w="2592" w:type="dxa"/>
          </w:tcPr>
          <w:p w14:paraId="44ECF04E" w14:textId="77777777" w:rsidR="00DD4D4C" w:rsidRDefault="006E4AFB">
            <w:r>
              <w:rPr>
                <w:sz w:val="18"/>
              </w:rPr>
              <w:t>BIND567, COMP042, COMP043</w:t>
            </w:r>
          </w:p>
        </w:tc>
        <w:tc>
          <w:tcPr>
            <w:tcW w:w="2592" w:type="dxa"/>
          </w:tcPr>
          <w:p w14:paraId="59FFBBEB" w14:textId="77777777" w:rsidR="00DD4D4C" w:rsidRDefault="006E4AFB">
            <w:r>
              <w:rPr>
                <w:sz w:val="18"/>
              </w:rPr>
              <w:t>Maintain clear documentation of deviations, traceability gaps, corrective actions, and supplier remediation evidence.</w:t>
            </w:r>
          </w:p>
        </w:tc>
      </w:tr>
      <w:tr w:rsidR="00DD4D4C" w14:paraId="34386909" w14:textId="77777777">
        <w:trPr>
          <w:jc w:val="center"/>
        </w:trPr>
        <w:tc>
          <w:tcPr>
            <w:tcW w:w="2592" w:type="dxa"/>
          </w:tcPr>
          <w:p w14:paraId="2F547393" w14:textId="77777777" w:rsidR="00DD4D4C" w:rsidRDefault="006E4AFB">
            <w:r>
              <w:rPr>
                <w:sz w:val="18"/>
              </w:rPr>
              <w:t>Use dual-track supplier management</w:t>
            </w:r>
          </w:p>
        </w:tc>
        <w:tc>
          <w:tcPr>
            <w:tcW w:w="2592" w:type="dxa"/>
          </w:tcPr>
          <w:p w14:paraId="270353DC" w14:textId="77777777" w:rsidR="00DD4D4C" w:rsidRDefault="006E4AFB">
            <w:r>
              <w:rPr>
                <w:sz w:val="18"/>
              </w:rPr>
              <w:t>Ravi Patel / Procurement</w:t>
            </w:r>
          </w:p>
        </w:tc>
        <w:tc>
          <w:tcPr>
            <w:tcW w:w="2592" w:type="dxa"/>
          </w:tcPr>
          <w:p w14:paraId="458D3ED5" w14:textId="77777777" w:rsidR="00DD4D4C" w:rsidRDefault="006E4AFB">
            <w:r>
              <w:rPr>
                <w:sz w:val="18"/>
              </w:rPr>
              <w:t>BIND567, COMP043</w:t>
            </w:r>
          </w:p>
        </w:tc>
        <w:tc>
          <w:tcPr>
            <w:tcW w:w="2592" w:type="dxa"/>
          </w:tcPr>
          <w:p w14:paraId="42E216D5" w14:textId="77777777" w:rsidR="00DD4D4C" w:rsidRDefault="006E4AFB">
            <w:r>
              <w:rPr>
                <w:sz w:val="18"/>
              </w:rPr>
              <w:t>Escalate current suppliers while preparing alternative or parallel sourcing to protect production continuity.</w:t>
            </w:r>
          </w:p>
        </w:tc>
      </w:tr>
      <w:tr w:rsidR="00DD4D4C" w14:paraId="1D3F85B9" w14:textId="77777777">
        <w:trPr>
          <w:jc w:val="center"/>
        </w:trPr>
        <w:tc>
          <w:tcPr>
            <w:tcW w:w="2592" w:type="dxa"/>
          </w:tcPr>
          <w:p w14:paraId="480A856D" w14:textId="77777777" w:rsidR="00DD4D4C" w:rsidRDefault="006E4AFB">
            <w:r>
              <w:rPr>
                <w:sz w:val="18"/>
              </w:rPr>
              <w:t>Focus on production continuity</w:t>
            </w:r>
          </w:p>
        </w:tc>
        <w:tc>
          <w:tcPr>
            <w:tcW w:w="2592" w:type="dxa"/>
          </w:tcPr>
          <w:p w14:paraId="2AF8802A" w14:textId="77777777" w:rsidR="00DD4D4C" w:rsidRDefault="006E4AFB">
            <w:r>
              <w:rPr>
                <w:sz w:val="18"/>
              </w:rPr>
              <w:t>Eleanor Wright / Production</w:t>
            </w:r>
          </w:p>
        </w:tc>
        <w:tc>
          <w:tcPr>
            <w:tcW w:w="2592" w:type="dxa"/>
          </w:tcPr>
          <w:p w14:paraId="0A0C1BB6" w14:textId="77777777" w:rsidR="00DD4D4C" w:rsidRDefault="006E4AFB">
            <w:r>
              <w:rPr>
                <w:sz w:val="18"/>
              </w:rPr>
              <w:t>COMP042, COMP043</w:t>
            </w:r>
          </w:p>
        </w:tc>
        <w:tc>
          <w:tcPr>
            <w:tcW w:w="2592" w:type="dxa"/>
          </w:tcPr>
          <w:p w14:paraId="52BEA04A" w14:textId="77777777" w:rsidR="00DD4D4C" w:rsidRDefault="006E4AFB">
            <w:r>
              <w:rPr>
                <w:sz w:val="18"/>
              </w:rPr>
              <w:t>Identify bottlenecks, resource impacts, and batch interruptions early so mitigation actions can be prioritized.</w:t>
            </w:r>
          </w:p>
        </w:tc>
      </w:tr>
    </w:tbl>
    <w:p w14:paraId="672A6659" w14:textId="77777777" w:rsidR="00DD4D4C" w:rsidRDefault="00DD4D4C"/>
    <w:p w14:paraId="252B7670" w14:textId="77777777" w:rsidR="00DD4D4C" w:rsidRDefault="006E4AFB">
      <w:pPr>
        <w:pStyle w:val="Heading1"/>
      </w:pPr>
      <w:r>
        <w:rPr>
          <w:color w:val="1F4E79"/>
        </w:rPr>
        <w:t>Immediate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DD4D4C" w14:paraId="305CEA5B" w14:textId="77777777">
        <w:trPr>
          <w:jc w:val="center"/>
        </w:trPr>
        <w:tc>
          <w:tcPr>
            <w:tcW w:w="2592" w:type="dxa"/>
            <w:shd w:val="clear" w:color="auto" w:fill="5B9BD5"/>
          </w:tcPr>
          <w:p w14:paraId="2DEDCF4F" w14:textId="77777777" w:rsidR="00DD4D4C" w:rsidRDefault="006E4AFB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592" w:type="dxa"/>
            <w:shd w:val="clear" w:color="auto" w:fill="5B9BD5"/>
          </w:tcPr>
          <w:p w14:paraId="58D48ECF" w14:textId="77777777" w:rsidR="00DD4D4C" w:rsidRDefault="006E4AFB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592" w:type="dxa"/>
            <w:shd w:val="clear" w:color="auto" w:fill="5B9BD5"/>
          </w:tcPr>
          <w:p w14:paraId="5BDA29DB" w14:textId="77777777" w:rsidR="00DD4D4C" w:rsidRDefault="006E4AFB"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592" w:type="dxa"/>
            <w:shd w:val="clear" w:color="auto" w:fill="5B9BD5"/>
          </w:tcPr>
          <w:p w14:paraId="7AF59641" w14:textId="77777777" w:rsidR="00DD4D4C" w:rsidRDefault="006E4AFB">
            <w:r>
              <w:rPr>
                <w:b/>
                <w:color w:val="FFFFFF"/>
                <w:sz w:val="18"/>
              </w:rPr>
              <w:t>Expected outcome / rationale</w:t>
            </w:r>
          </w:p>
        </w:tc>
      </w:tr>
      <w:tr w:rsidR="00DD4D4C" w14:paraId="322A0989" w14:textId="77777777">
        <w:trPr>
          <w:jc w:val="center"/>
        </w:trPr>
        <w:tc>
          <w:tcPr>
            <w:tcW w:w="2592" w:type="dxa"/>
          </w:tcPr>
          <w:p w14:paraId="179C860C" w14:textId="77777777" w:rsidR="00DD4D4C" w:rsidRDefault="006E4AFB">
            <w:r>
              <w:rPr>
                <w:sz w:val="18"/>
              </w:rPr>
              <w:t>Validate current BIND567 batches</w:t>
            </w:r>
          </w:p>
        </w:tc>
        <w:tc>
          <w:tcPr>
            <w:tcW w:w="2592" w:type="dxa"/>
          </w:tcPr>
          <w:p w14:paraId="42548959" w14:textId="77777777" w:rsidR="00DD4D4C" w:rsidRDefault="006E4AFB">
            <w:r>
              <w:rPr>
                <w:sz w:val="18"/>
              </w:rPr>
              <w:t>David Okoro / Quality</w:t>
            </w:r>
          </w:p>
        </w:tc>
        <w:tc>
          <w:tcPr>
            <w:tcW w:w="2592" w:type="dxa"/>
          </w:tcPr>
          <w:p w14:paraId="53CE9DFC" w14:textId="77777777" w:rsidR="00DD4D4C" w:rsidRDefault="006E4AFB">
            <w:r>
              <w:rPr>
                <w:sz w:val="18"/>
              </w:rPr>
              <w:t>BIND567</w:t>
            </w:r>
          </w:p>
        </w:tc>
        <w:tc>
          <w:tcPr>
            <w:tcW w:w="2592" w:type="dxa"/>
          </w:tcPr>
          <w:p w14:paraId="7AB48B1B" w14:textId="77777777" w:rsidR="00DD4D4C" w:rsidRDefault="006E4AFB">
            <w:r>
              <w:rPr>
                <w:sz w:val="18"/>
              </w:rPr>
              <w:t>Confirm batch quality and contain molecular inconsistency risk before additional downstream production impact.</w:t>
            </w:r>
          </w:p>
        </w:tc>
      </w:tr>
      <w:tr w:rsidR="00DD4D4C" w14:paraId="303F3E6C" w14:textId="77777777">
        <w:trPr>
          <w:jc w:val="center"/>
        </w:trPr>
        <w:tc>
          <w:tcPr>
            <w:tcW w:w="2592" w:type="dxa"/>
          </w:tcPr>
          <w:p w14:paraId="688E66B2" w14:textId="77777777" w:rsidR="00DD4D4C" w:rsidRDefault="006E4AFB">
            <w:r>
              <w:rPr>
                <w:sz w:val="18"/>
              </w:rPr>
              <w:t>Tighten incoming material controls</w:t>
            </w:r>
          </w:p>
        </w:tc>
        <w:tc>
          <w:tcPr>
            <w:tcW w:w="2592" w:type="dxa"/>
          </w:tcPr>
          <w:p w14:paraId="5FABBF19" w14:textId="77777777" w:rsidR="00DD4D4C" w:rsidRDefault="006E4AFB">
            <w:r>
              <w:rPr>
                <w:sz w:val="18"/>
              </w:rPr>
              <w:t>David Okoro / Quality</w:t>
            </w:r>
          </w:p>
        </w:tc>
        <w:tc>
          <w:tcPr>
            <w:tcW w:w="2592" w:type="dxa"/>
          </w:tcPr>
          <w:p w14:paraId="3EBC088B" w14:textId="77777777" w:rsidR="00DD4D4C" w:rsidRDefault="006E4AFB">
            <w:r>
              <w:rPr>
                <w:sz w:val="18"/>
              </w:rPr>
              <w:t>BIND567</w:t>
            </w:r>
          </w:p>
        </w:tc>
        <w:tc>
          <w:tcPr>
            <w:tcW w:w="2592" w:type="dxa"/>
          </w:tcPr>
          <w:p w14:paraId="3F432957" w14:textId="77777777" w:rsidR="00DD4D4C" w:rsidRDefault="006E4AFB">
            <w:r>
              <w:rPr>
                <w:sz w:val="18"/>
              </w:rPr>
              <w:t>Increase controls on inbound materials to reduce defect risk and stabilize manufacturing reactions.</w:t>
            </w:r>
          </w:p>
        </w:tc>
      </w:tr>
      <w:tr w:rsidR="00DD4D4C" w14:paraId="29BC7298" w14:textId="77777777">
        <w:trPr>
          <w:jc w:val="center"/>
        </w:trPr>
        <w:tc>
          <w:tcPr>
            <w:tcW w:w="2592" w:type="dxa"/>
          </w:tcPr>
          <w:p w14:paraId="4360C68B" w14:textId="77777777" w:rsidR="00DD4D4C" w:rsidRDefault="006E4AFB">
            <w:r>
              <w:rPr>
                <w:sz w:val="18"/>
              </w:rPr>
              <w:t>Escalate with EcoSupply and request a concrete corrective-action timeline</w:t>
            </w:r>
          </w:p>
        </w:tc>
        <w:tc>
          <w:tcPr>
            <w:tcW w:w="2592" w:type="dxa"/>
          </w:tcPr>
          <w:p w14:paraId="35C8F143" w14:textId="77777777" w:rsidR="00DD4D4C" w:rsidRDefault="006E4AFB">
            <w:r>
              <w:rPr>
                <w:sz w:val="18"/>
              </w:rPr>
              <w:t>Sarah Nakamura and David Okoro</w:t>
            </w:r>
          </w:p>
        </w:tc>
        <w:tc>
          <w:tcPr>
            <w:tcW w:w="2592" w:type="dxa"/>
          </w:tcPr>
          <w:p w14:paraId="4A38D90C" w14:textId="77777777" w:rsidR="00DD4D4C" w:rsidRDefault="006E4AFB">
            <w:r>
              <w:rPr>
                <w:sz w:val="18"/>
              </w:rPr>
              <w:t>BIND567</w:t>
            </w:r>
          </w:p>
        </w:tc>
        <w:tc>
          <w:tcPr>
            <w:tcW w:w="2592" w:type="dxa"/>
          </w:tcPr>
          <w:p w14:paraId="58BBD2EE" w14:textId="77777777" w:rsidR="00DD4D4C" w:rsidRDefault="006E4AFB">
            <w:r>
              <w:rPr>
                <w:sz w:val="18"/>
              </w:rPr>
              <w:t>EcoSupply acknowledged the issue but had not provided a concrete timeline.</w:t>
            </w:r>
          </w:p>
        </w:tc>
      </w:tr>
      <w:tr w:rsidR="00DD4D4C" w14:paraId="0E730667" w14:textId="77777777">
        <w:trPr>
          <w:jc w:val="center"/>
        </w:trPr>
        <w:tc>
          <w:tcPr>
            <w:tcW w:w="2592" w:type="dxa"/>
          </w:tcPr>
          <w:p w14:paraId="59D76C6D" w14:textId="77777777" w:rsidR="00DD4D4C" w:rsidRDefault="006E4AFB">
            <w:r>
              <w:rPr>
                <w:sz w:val="18"/>
              </w:rPr>
              <w:t>Contact previously vetted secondary suppliers</w:t>
            </w:r>
          </w:p>
        </w:tc>
        <w:tc>
          <w:tcPr>
            <w:tcW w:w="2592" w:type="dxa"/>
          </w:tcPr>
          <w:p w14:paraId="001459A6" w14:textId="77777777" w:rsidR="00DD4D4C" w:rsidRDefault="006E4AFB">
            <w:r>
              <w:rPr>
                <w:sz w:val="18"/>
              </w:rPr>
              <w:t>Ravi Patel / Procurement</w:t>
            </w:r>
          </w:p>
        </w:tc>
        <w:tc>
          <w:tcPr>
            <w:tcW w:w="2592" w:type="dxa"/>
          </w:tcPr>
          <w:p w14:paraId="3AE34E6D" w14:textId="77777777" w:rsidR="00DD4D4C" w:rsidRDefault="006E4AFB">
            <w:r>
              <w:rPr>
                <w:sz w:val="18"/>
              </w:rPr>
              <w:t>BIND567</w:t>
            </w:r>
          </w:p>
        </w:tc>
        <w:tc>
          <w:tcPr>
            <w:tcW w:w="2592" w:type="dxa"/>
          </w:tcPr>
          <w:p w14:paraId="03B8AF93" w14:textId="77777777" w:rsidR="00DD4D4C" w:rsidRDefault="006E4AFB">
            <w:r>
              <w:rPr>
                <w:sz w:val="18"/>
              </w:rPr>
              <w:t>Expedite contingency onboarding for BIND567 supply continuity.</w:t>
            </w:r>
          </w:p>
        </w:tc>
      </w:tr>
      <w:tr w:rsidR="00DD4D4C" w14:paraId="759FF70B" w14:textId="77777777">
        <w:trPr>
          <w:jc w:val="center"/>
        </w:trPr>
        <w:tc>
          <w:tcPr>
            <w:tcW w:w="2592" w:type="dxa"/>
          </w:tcPr>
          <w:p w14:paraId="75C6276E" w14:textId="77777777" w:rsidR="00DD4D4C" w:rsidRDefault="006E4AFB">
            <w:r>
              <w:rPr>
                <w:sz w:val="18"/>
              </w:rPr>
              <w:t>Launch immediate PrimeLogistics audit</w:t>
            </w:r>
          </w:p>
        </w:tc>
        <w:tc>
          <w:tcPr>
            <w:tcW w:w="2592" w:type="dxa"/>
          </w:tcPr>
          <w:p w14:paraId="267E9C59" w14:textId="77777777" w:rsidR="00DD4D4C" w:rsidRDefault="006E4AFB">
            <w:r>
              <w:rPr>
                <w:sz w:val="18"/>
              </w:rPr>
              <w:t>Ravi Patel / Procurement</w:t>
            </w:r>
          </w:p>
        </w:tc>
        <w:tc>
          <w:tcPr>
            <w:tcW w:w="2592" w:type="dxa"/>
          </w:tcPr>
          <w:p w14:paraId="5FA41BF3" w14:textId="77777777" w:rsidR="00DD4D4C" w:rsidRDefault="006E4AFB">
            <w:r>
              <w:rPr>
                <w:sz w:val="18"/>
              </w:rPr>
              <w:t>COMP042</w:t>
            </w:r>
          </w:p>
        </w:tc>
        <w:tc>
          <w:tcPr>
            <w:tcW w:w="2592" w:type="dxa"/>
          </w:tcPr>
          <w:p w14:paraId="1FFAC47A" w14:textId="77777777" w:rsidR="00DD4D4C" w:rsidRDefault="006E4AFB">
            <w:r>
              <w:rPr>
                <w:sz w:val="18"/>
              </w:rPr>
              <w:t>Review shipment delays, lot-number mismatches, manifest accuracy, and traceability controls.</w:t>
            </w:r>
          </w:p>
        </w:tc>
      </w:tr>
      <w:tr w:rsidR="00DD4D4C" w14:paraId="6B6B6E28" w14:textId="77777777">
        <w:trPr>
          <w:jc w:val="center"/>
        </w:trPr>
        <w:tc>
          <w:tcPr>
            <w:tcW w:w="2592" w:type="dxa"/>
          </w:tcPr>
          <w:p w14:paraId="01F0F344" w14:textId="77777777" w:rsidR="00DD4D4C" w:rsidRDefault="006E4AFB">
            <w:r>
              <w:rPr>
                <w:sz w:val="18"/>
              </w:rPr>
              <w:t>Document traceability gaps and corrective actions for FDA review</w:t>
            </w:r>
          </w:p>
        </w:tc>
        <w:tc>
          <w:tcPr>
            <w:tcW w:w="2592" w:type="dxa"/>
          </w:tcPr>
          <w:p w14:paraId="4352EB22" w14:textId="77777777" w:rsidR="00DD4D4C" w:rsidRDefault="006E4AFB">
            <w:r>
              <w:rPr>
                <w:sz w:val="18"/>
              </w:rPr>
              <w:t>Maria Sanchez</w:t>
            </w:r>
          </w:p>
        </w:tc>
        <w:tc>
          <w:tcPr>
            <w:tcW w:w="2592" w:type="dxa"/>
          </w:tcPr>
          <w:p w14:paraId="58B15A01" w14:textId="77777777" w:rsidR="00DD4D4C" w:rsidRDefault="006E4AFB">
            <w:r>
              <w:rPr>
                <w:sz w:val="18"/>
              </w:rPr>
              <w:t>COMP042</w:t>
            </w:r>
          </w:p>
        </w:tc>
        <w:tc>
          <w:tcPr>
            <w:tcW w:w="2592" w:type="dxa"/>
          </w:tcPr>
          <w:p w14:paraId="3B93233B" w14:textId="77777777" w:rsidR="00DD4D4C" w:rsidRDefault="006E4AFB">
            <w:r>
              <w:rPr>
                <w:sz w:val="18"/>
              </w:rPr>
              <w:t>Prepare a comprehensive report covering discrepancies and planned remediation.</w:t>
            </w:r>
          </w:p>
        </w:tc>
      </w:tr>
      <w:tr w:rsidR="00DD4D4C" w14:paraId="23EBEB9C" w14:textId="77777777">
        <w:trPr>
          <w:jc w:val="center"/>
        </w:trPr>
        <w:tc>
          <w:tcPr>
            <w:tcW w:w="2592" w:type="dxa"/>
          </w:tcPr>
          <w:p w14:paraId="26DBD383" w14:textId="77777777" w:rsidR="00DD4D4C" w:rsidRDefault="006E4AFB">
            <w:r>
              <w:rPr>
                <w:sz w:val="18"/>
              </w:rPr>
              <w:t>Coordinate supplier remediation plan for GMP gaps</w:t>
            </w:r>
          </w:p>
        </w:tc>
        <w:tc>
          <w:tcPr>
            <w:tcW w:w="2592" w:type="dxa"/>
          </w:tcPr>
          <w:p w14:paraId="633A9AC8" w14:textId="77777777" w:rsidR="00DD4D4C" w:rsidRDefault="006E4AFB">
            <w:r>
              <w:rPr>
                <w:sz w:val="18"/>
              </w:rPr>
              <w:t>Maria Sanchez</w:t>
            </w:r>
          </w:p>
        </w:tc>
        <w:tc>
          <w:tcPr>
            <w:tcW w:w="2592" w:type="dxa"/>
          </w:tcPr>
          <w:p w14:paraId="4AA9708C" w14:textId="77777777" w:rsidR="00DD4D4C" w:rsidRDefault="006E4AFB">
            <w:r>
              <w:rPr>
                <w:sz w:val="18"/>
              </w:rPr>
              <w:t>COMP043</w:t>
            </w:r>
          </w:p>
        </w:tc>
        <w:tc>
          <w:tcPr>
            <w:tcW w:w="2592" w:type="dxa"/>
          </w:tcPr>
          <w:p w14:paraId="2CA594F2" w14:textId="77777777" w:rsidR="00DD4D4C" w:rsidRDefault="006E4AFB">
            <w:r>
              <w:rPr>
                <w:sz w:val="18"/>
              </w:rPr>
              <w:t>Establish remediation timeline and confirm required cleanroom protocol improvements.</w:t>
            </w:r>
          </w:p>
        </w:tc>
      </w:tr>
      <w:tr w:rsidR="00DD4D4C" w14:paraId="6AB225CC" w14:textId="77777777">
        <w:trPr>
          <w:jc w:val="center"/>
        </w:trPr>
        <w:tc>
          <w:tcPr>
            <w:tcW w:w="2592" w:type="dxa"/>
          </w:tcPr>
          <w:p w14:paraId="6C016EB4" w14:textId="77777777" w:rsidR="00DD4D4C" w:rsidRDefault="006E4AFB">
            <w:r>
              <w:rPr>
                <w:sz w:val="18"/>
              </w:rPr>
              <w:t>Assign production liaison for documentation support</w:t>
            </w:r>
          </w:p>
        </w:tc>
        <w:tc>
          <w:tcPr>
            <w:tcW w:w="2592" w:type="dxa"/>
          </w:tcPr>
          <w:p w14:paraId="4EF0BBDB" w14:textId="77777777" w:rsidR="00DD4D4C" w:rsidRDefault="006E4AFB">
            <w:r>
              <w:rPr>
                <w:sz w:val="18"/>
              </w:rPr>
              <w:t>Eleanor Wright</w:t>
            </w:r>
          </w:p>
        </w:tc>
        <w:tc>
          <w:tcPr>
            <w:tcW w:w="2592" w:type="dxa"/>
          </w:tcPr>
          <w:p w14:paraId="34BBB249" w14:textId="77777777" w:rsidR="00DD4D4C" w:rsidRDefault="006E4AFB">
            <w:r>
              <w:rPr>
                <w:sz w:val="18"/>
              </w:rPr>
              <w:t>COMP042 / COMP043</w:t>
            </w:r>
          </w:p>
        </w:tc>
        <w:tc>
          <w:tcPr>
            <w:tcW w:w="2592" w:type="dxa"/>
          </w:tcPr>
          <w:p w14:paraId="5D9BC7C0" w14:textId="77777777" w:rsidR="00DD4D4C" w:rsidRDefault="006E4AFB">
            <w:r>
              <w:rPr>
                <w:sz w:val="18"/>
              </w:rPr>
              <w:t>Connect production evidence and operational impacts into the documentation workstream.</w:t>
            </w:r>
          </w:p>
        </w:tc>
      </w:tr>
      <w:tr w:rsidR="00DD4D4C" w14:paraId="38D8A9FC" w14:textId="77777777">
        <w:trPr>
          <w:jc w:val="center"/>
        </w:trPr>
        <w:tc>
          <w:tcPr>
            <w:tcW w:w="2592" w:type="dxa"/>
          </w:tcPr>
          <w:p w14:paraId="105247FC" w14:textId="77777777" w:rsidR="00DD4D4C" w:rsidRDefault="006E4AFB">
            <w:r>
              <w:rPr>
                <w:sz w:val="18"/>
              </w:rPr>
              <w:t>Allocate procurement resources for supplier onboarding and audits</w:t>
            </w:r>
          </w:p>
        </w:tc>
        <w:tc>
          <w:tcPr>
            <w:tcW w:w="2592" w:type="dxa"/>
          </w:tcPr>
          <w:p w14:paraId="44D0570B" w14:textId="77777777" w:rsidR="00DD4D4C" w:rsidRDefault="006E4AFB">
            <w:r>
              <w:rPr>
                <w:sz w:val="18"/>
              </w:rPr>
              <w:t>Ravi Patel</w:t>
            </w:r>
          </w:p>
        </w:tc>
        <w:tc>
          <w:tcPr>
            <w:tcW w:w="2592" w:type="dxa"/>
          </w:tcPr>
          <w:p w14:paraId="518C69ED" w14:textId="77777777" w:rsidR="00DD4D4C" w:rsidRDefault="006E4AFB">
            <w:r>
              <w:rPr>
                <w:sz w:val="18"/>
              </w:rPr>
              <w:t>BIND567 / COMP042 / COMP043</w:t>
            </w:r>
          </w:p>
        </w:tc>
        <w:tc>
          <w:tcPr>
            <w:tcW w:w="2592" w:type="dxa"/>
          </w:tcPr>
          <w:p w14:paraId="761B1AFE" w14:textId="77777777" w:rsidR="00DD4D4C" w:rsidRDefault="006E4AFB">
            <w:r>
              <w:rPr>
                <w:sz w:val="18"/>
              </w:rPr>
              <w:t>Speed execution on contingency sourcing and supplier audit activity.</w:t>
            </w:r>
          </w:p>
        </w:tc>
      </w:tr>
    </w:tbl>
    <w:p w14:paraId="0A37501D" w14:textId="77777777" w:rsidR="00DD4D4C" w:rsidRDefault="00DD4D4C"/>
    <w:p w14:paraId="309AC272" w14:textId="77777777" w:rsidR="00DD4D4C" w:rsidRDefault="006E4AFB">
      <w:pPr>
        <w:pStyle w:val="Heading1"/>
      </w:pPr>
      <w:r>
        <w:rPr>
          <w:color w:val="1F4E79"/>
        </w:rPr>
        <w:t>Short-Term Actions (1-3 weeks)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DD4D4C" w14:paraId="57E67E33" w14:textId="77777777">
        <w:trPr>
          <w:jc w:val="center"/>
        </w:trPr>
        <w:tc>
          <w:tcPr>
            <w:tcW w:w="2592" w:type="dxa"/>
            <w:shd w:val="clear" w:color="auto" w:fill="5B9BD5"/>
          </w:tcPr>
          <w:p w14:paraId="560DA689" w14:textId="77777777" w:rsidR="00DD4D4C" w:rsidRDefault="006E4AFB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592" w:type="dxa"/>
            <w:shd w:val="clear" w:color="auto" w:fill="5B9BD5"/>
          </w:tcPr>
          <w:p w14:paraId="5787A946" w14:textId="77777777" w:rsidR="00DD4D4C" w:rsidRDefault="006E4AFB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592" w:type="dxa"/>
            <w:shd w:val="clear" w:color="auto" w:fill="5B9BD5"/>
          </w:tcPr>
          <w:p w14:paraId="453824FE" w14:textId="77777777" w:rsidR="00DD4D4C" w:rsidRDefault="006E4AFB"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592" w:type="dxa"/>
            <w:shd w:val="clear" w:color="auto" w:fill="5B9BD5"/>
          </w:tcPr>
          <w:p w14:paraId="3223C550" w14:textId="77777777" w:rsidR="00DD4D4C" w:rsidRDefault="006E4AFB">
            <w:r>
              <w:rPr>
                <w:b/>
                <w:color w:val="FFFFFF"/>
                <w:sz w:val="18"/>
              </w:rPr>
              <w:t>Expected outcome / rationale</w:t>
            </w:r>
          </w:p>
        </w:tc>
      </w:tr>
      <w:tr w:rsidR="00DD4D4C" w14:paraId="0491AB9F" w14:textId="77777777">
        <w:trPr>
          <w:jc w:val="center"/>
        </w:trPr>
        <w:tc>
          <w:tcPr>
            <w:tcW w:w="2592" w:type="dxa"/>
          </w:tcPr>
          <w:p w14:paraId="2D191CC1" w14:textId="77777777" w:rsidR="00DD4D4C" w:rsidRDefault="006E4AFB">
            <w:r>
              <w:rPr>
                <w:sz w:val="18"/>
              </w:rPr>
              <w:t>Complete alternative supplier onboarding plan</w:t>
            </w:r>
          </w:p>
        </w:tc>
        <w:tc>
          <w:tcPr>
            <w:tcW w:w="2592" w:type="dxa"/>
          </w:tcPr>
          <w:p w14:paraId="591B592B" w14:textId="77777777" w:rsidR="00DD4D4C" w:rsidRDefault="006E4AFB">
            <w:r>
              <w:rPr>
                <w:sz w:val="18"/>
              </w:rPr>
              <w:t>Ravi Patel / Procurement</w:t>
            </w:r>
          </w:p>
        </w:tc>
        <w:tc>
          <w:tcPr>
            <w:tcW w:w="2592" w:type="dxa"/>
          </w:tcPr>
          <w:p w14:paraId="58DD44EE" w14:textId="77777777" w:rsidR="00DD4D4C" w:rsidRDefault="006E4AFB">
            <w:r>
              <w:rPr>
                <w:sz w:val="18"/>
              </w:rPr>
              <w:t>BIND567</w:t>
            </w:r>
          </w:p>
        </w:tc>
        <w:tc>
          <w:tcPr>
            <w:tcW w:w="2592" w:type="dxa"/>
          </w:tcPr>
          <w:p w14:paraId="1EF57708" w14:textId="77777777" w:rsidR="00DD4D4C" w:rsidRDefault="006E4AFB">
            <w:r>
              <w:rPr>
                <w:sz w:val="18"/>
              </w:rPr>
              <w:t>Convert previously vetted secondary supplier outreach into a readiness plan for rapid transition if needed.</w:t>
            </w:r>
          </w:p>
        </w:tc>
      </w:tr>
      <w:tr w:rsidR="00DD4D4C" w14:paraId="5D3346A4" w14:textId="77777777">
        <w:trPr>
          <w:jc w:val="center"/>
        </w:trPr>
        <w:tc>
          <w:tcPr>
            <w:tcW w:w="2592" w:type="dxa"/>
          </w:tcPr>
          <w:p w14:paraId="081DCBA0" w14:textId="77777777" w:rsidR="00DD4D4C" w:rsidRDefault="006E4AFB">
            <w:r>
              <w:rPr>
                <w:sz w:val="18"/>
              </w:rPr>
              <w:t>Complete PrimeLogistics audit findings and corrective-action path</w:t>
            </w:r>
          </w:p>
        </w:tc>
        <w:tc>
          <w:tcPr>
            <w:tcW w:w="2592" w:type="dxa"/>
          </w:tcPr>
          <w:p w14:paraId="004398D5" w14:textId="77777777" w:rsidR="00DD4D4C" w:rsidRDefault="006E4AFB">
            <w:r>
              <w:rPr>
                <w:sz w:val="18"/>
              </w:rPr>
              <w:t>Ravi Patel / Procurement</w:t>
            </w:r>
          </w:p>
        </w:tc>
        <w:tc>
          <w:tcPr>
            <w:tcW w:w="2592" w:type="dxa"/>
          </w:tcPr>
          <w:p w14:paraId="32613220" w14:textId="77777777" w:rsidR="00DD4D4C" w:rsidRDefault="006E4AFB">
            <w:r>
              <w:rPr>
                <w:sz w:val="18"/>
              </w:rPr>
              <w:t>COMP042</w:t>
            </w:r>
          </w:p>
        </w:tc>
        <w:tc>
          <w:tcPr>
            <w:tcW w:w="2592" w:type="dxa"/>
          </w:tcPr>
          <w:p w14:paraId="64877F62" w14:textId="77777777" w:rsidR="00DD4D4C" w:rsidRDefault="006E4AFB">
            <w:r>
              <w:rPr>
                <w:sz w:val="18"/>
              </w:rPr>
              <w:t>Define required fixes for delayed shipments, mismatched lot numbers, malformed manifests, and traceability weaknesses.</w:t>
            </w:r>
          </w:p>
        </w:tc>
      </w:tr>
      <w:tr w:rsidR="00DD4D4C" w14:paraId="57B6AB3A" w14:textId="77777777">
        <w:trPr>
          <w:jc w:val="center"/>
        </w:trPr>
        <w:tc>
          <w:tcPr>
            <w:tcW w:w="2592" w:type="dxa"/>
          </w:tcPr>
          <w:p w14:paraId="00925452" w14:textId="77777777" w:rsidR="00DD4D4C" w:rsidRDefault="006E4AFB">
            <w:r>
              <w:rPr>
                <w:sz w:val="18"/>
              </w:rPr>
              <w:t>Finalize and circulate traceability and compliance report</w:t>
            </w:r>
          </w:p>
        </w:tc>
        <w:tc>
          <w:tcPr>
            <w:tcW w:w="2592" w:type="dxa"/>
          </w:tcPr>
          <w:p w14:paraId="2EAB4D6F" w14:textId="77777777" w:rsidR="00DD4D4C" w:rsidRDefault="006E4AFB">
            <w:r>
              <w:rPr>
                <w:sz w:val="18"/>
              </w:rPr>
              <w:t>Maria Sanchez</w:t>
            </w:r>
          </w:p>
        </w:tc>
        <w:tc>
          <w:tcPr>
            <w:tcW w:w="2592" w:type="dxa"/>
          </w:tcPr>
          <w:p w14:paraId="4B84BB9A" w14:textId="77777777" w:rsidR="00DD4D4C" w:rsidRDefault="006E4AFB">
            <w:r>
              <w:rPr>
                <w:sz w:val="18"/>
              </w:rPr>
              <w:t>COMP042</w:t>
            </w:r>
          </w:p>
        </w:tc>
        <w:tc>
          <w:tcPr>
            <w:tcW w:w="2592" w:type="dxa"/>
          </w:tcPr>
          <w:p w14:paraId="31BC6449" w14:textId="77777777" w:rsidR="00DD4D4C" w:rsidRDefault="006E4AFB">
            <w:r>
              <w:rPr>
                <w:sz w:val="18"/>
              </w:rPr>
              <w:t>Ensure discrepancies, corrective actions, and FDA-facing evidence are captured in one controlled summary.</w:t>
            </w:r>
          </w:p>
        </w:tc>
      </w:tr>
      <w:tr w:rsidR="00DD4D4C" w14:paraId="28E4381B" w14:textId="77777777">
        <w:trPr>
          <w:jc w:val="center"/>
        </w:trPr>
        <w:tc>
          <w:tcPr>
            <w:tcW w:w="2592" w:type="dxa"/>
          </w:tcPr>
          <w:p w14:paraId="19A8528C" w14:textId="77777777" w:rsidR="00DD4D4C" w:rsidRDefault="006E4AFB">
            <w:r>
              <w:rPr>
                <w:sz w:val="18"/>
              </w:rPr>
              <w:t>Evaluate need for alternative sourcing for COMP042</w:t>
            </w:r>
          </w:p>
        </w:tc>
        <w:tc>
          <w:tcPr>
            <w:tcW w:w="2592" w:type="dxa"/>
          </w:tcPr>
          <w:p w14:paraId="1E461EF0" w14:textId="77777777" w:rsidR="00DD4D4C" w:rsidRDefault="006E4AFB">
            <w:r>
              <w:rPr>
                <w:sz w:val="18"/>
              </w:rPr>
              <w:t>Procurement with Quality and Production input</w:t>
            </w:r>
          </w:p>
        </w:tc>
        <w:tc>
          <w:tcPr>
            <w:tcW w:w="2592" w:type="dxa"/>
          </w:tcPr>
          <w:p w14:paraId="38FCEEBF" w14:textId="77777777" w:rsidR="00DD4D4C" w:rsidRDefault="006E4AFB">
            <w:r>
              <w:rPr>
                <w:sz w:val="18"/>
              </w:rPr>
              <w:t>COMP042</w:t>
            </w:r>
          </w:p>
        </w:tc>
        <w:tc>
          <w:tcPr>
            <w:tcW w:w="2592" w:type="dxa"/>
          </w:tcPr>
          <w:p w14:paraId="712C3C4D" w14:textId="77777777" w:rsidR="00DD4D4C" w:rsidRDefault="006E4AFB">
            <w:r>
              <w:rPr>
                <w:sz w:val="18"/>
              </w:rPr>
              <w:t>Use audit results and production impact to decide whether alternate sourcing is required.</w:t>
            </w:r>
          </w:p>
        </w:tc>
      </w:tr>
      <w:tr w:rsidR="00DD4D4C" w14:paraId="0C0493D7" w14:textId="77777777">
        <w:trPr>
          <w:jc w:val="center"/>
        </w:trPr>
        <w:tc>
          <w:tcPr>
            <w:tcW w:w="2592" w:type="dxa"/>
          </w:tcPr>
          <w:p w14:paraId="54914F7A" w14:textId="77777777" w:rsidR="00DD4D4C" w:rsidRDefault="006E4AFB">
            <w:r>
              <w:rPr>
                <w:sz w:val="18"/>
              </w:rPr>
              <w:t>Confirm COMP043 supplier remediation timeline and governance checkpoints</w:t>
            </w:r>
          </w:p>
        </w:tc>
        <w:tc>
          <w:tcPr>
            <w:tcW w:w="2592" w:type="dxa"/>
          </w:tcPr>
          <w:p w14:paraId="460CD3AC" w14:textId="77777777" w:rsidR="00DD4D4C" w:rsidRDefault="006E4AFB">
            <w:r>
              <w:rPr>
                <w:sz w:val="18"/>
              </w:rPr>
              <w:t>Maria Sanchez / Quality / Procurement</w:t>
            </w:r>
          </w:p>
        </w:tc>
        <w:tc>
          <w:tcPr>
            <w:tcW w:w="2592" w:type="dxa"/>
          </w:tcPr>
          <w:p w14:paraId="1C4789C5" w14:textId="77777777" w:rsidR="00DD4D4C" w:rsidRDefault="006E4AFB">
            <w:r>
              <w:rPr>
                <w:sz w:val="18"/>
              </w:rPr>
              <w:t>COMP043</w:t>
            </w:r>
          </w:p>
        </w:tc>
        <w:tc>
          <w:tcPr>
            <w:tcW w:w="2592" w:type="dxa"/>
          </w:tcPr>
          <w:p w14:paraId="6B28A3F1" w14:textId="77777777" w:rsidR="00DD4D4C" w:rsidRDefault="006E4AFB">
            <w:r>
              <w:rPr>
                <w:sz w:val="18"/>
              </w:rPr>
              <w:t>Track cleanroom protocol remediation, delivery discipline, and stockout recovery.</w:t>
            </w:r>
          </w:p>
        </w:tc>
      </w:tr>
      <w:tr w:rsidR="00DD4D4C" w14:paraId="20A6379A" w14:textId="77777777">
        <w:trPr>
          <w:jc w:val="center"/>
        </w:trPr>
        <w:tc>
          <w:tcPr>
            <w:tcW w:w="2592" w:type="dxa"/>
          </w:tcPr>
          <w:p w14:paraId="32DD3C18" w14:textId="77777777" w:rsidR="00DD4D4C" w:rsidRDefault="006E4AFB">
            <w:r>
              <w:rPr>
                <w:sz w:val="18"/>
              </w:rPr>
              <w:t>Build parallel sourcing options for COMP043</w:t>
            </w:r>
          </w:p>
        </w:tc>
        <w:tc>
          <w:tcPr>
            <w:tcW w:w="2592" w:type="dxa"/>
          </w:tcPr>
          <w:p w14:paraId="1C54316D" w14:textId="77777777" w:rsidR="00DD4D4C" w:rsidRDefault="006E4AFB">
            <w:r>
              <w:rPr>
                <w:sz w:val="18"/>
              </w:rPr>
              <w:t>Ravi Patel / Procurement</w:t>
            </w:r>
          </w:p>
        </w:tc>
        <w:tc>
          <w:tcPr>
            <w:tcW w:w="2592" w:type="dxa"/>
          </w:tcPr>
          <w:p w14:paraId="502B9524" w14:textId="77777777" w:rsidR="00DD4D4C" w:rsidRDefault="006E4AFB">
            <w:r>
              <w:rPr>
                <w:sz w:val="18"/>
              </w:rPr>
              <w:t>COMP043</w:t>
            </w:r>
          </w:p>
        </w:tc>
        <w:tc>
          <w:tcPr>
            <w:tcW w:w="2592" w:type="dxa"/>
          </w:tcPr>
          <w:p w14:paraId="6C48BBDF" w14:textId="77777777" w:rsidR="00DD4D4C" w:rsidRDefault="006E4AFB">
            <w:r>
              <w:rPr>
                <w:sz w:val="18"/>
              </w:rPr>
              <w:t>Maintain continuity while supplier corrective actions are underway.</w:t>
            </w:r>
          </w:p>
        </w:tc>
      </w:tr>
      <w:tr w:rsidR="00DD4D4C" w14:paraId="4A5679BA" w14:textId="77777777">
        <w:trPr>
          <w:jc w:val="center"/>
        </w:trPr>
        <w:tc>
          <w:tcPr>
            <w:tcW w:w="2592" w:type="dxa"/>
          </w:tcPr>
          <w:p w14:paraId="13466F42" w14:textId="77777777" w:rsidR="00DD4D4C" w:rsidRDefault="006E4AFB">
            <w:r>
              <w:rPr>
                <w:sz w:val="18"/>
              </w:rPr>
              <w:t>Conduct weekly progress review</w:t>
            </w:r>
          </w:p>
        </w:tc>
        <w:tc>
          <w:tcPr>
            <w:tcW w:w="2592" w:type="dxa"/>
          </w:tcPr>
          <w:p w14:paraId="33F57560" w14:textId="77777777" w:rsidR="00DD4D4C" w:rsidRDefault="006E4AFB">
            <w:r>
              <w:rPr>
                <w:sz w:val="18"/>
              </w:rPr>
              <w:t>Sarah Nakamura / task force</w:t>
            </w:r>
          </w:p>
        </w:tc>
        <w:tc>
          <w:tcPr>
            <w:tcW w:w="2592" w:type="dxa"/>
          </w:tcPr>
          <w:p w14:paraId="434BC410" w14:textId="77777777" w:rsidR="00DD4D4C" w:rsidRDefault="006E4AFB">
            <w:r>
              <w:rPr>
                <w:sz w:val="18"/>
              </w:rPr>
              <w:t>All components</w:t>
            </w:r>
          </w:p>
        </w:tc>
        <w:tc>
          <w:tcPr>
            <w:tcW w:w="2592" w:type="dxa"/>
          </w:tcPr>
          <w:p w14:paraId="2C2E9CA0" w14:textId="77777777" w:rsidR="00DD4D4C" w:rsidRDefault="006E4AFB">
            <w:r>
              <w:rPr>
                <w:sz w:val="18"/>
              </w:rPr>
              <w:t>Review action owners, blockers, compliance exposure, and supplier progress.</w:t>
            </w:r>
          </w:p>
        </w:tc>
      </w:tr>
    </w:tbl>
    <w:p w14:paraId="5DAB6C7B" w14:textId="77777777" w:rsidR="00DD4D4C" w:rsidRDefault="00DD4D4C"/>
    <w:p w14:paraId="2FE5AC06" w14:textId="77777777" w:rsidR="00DD4D4C" w:rsidRDefault="006E4AFB">
      <w:pPr>
        <w:pStyle w:val="Heading1"/>
      </w:pPr>
      <w:r>
        <w:rPr>
          <w:color w:val="1F4E79"/>
        </w:rPr>
        <w:t>Ongoing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89"/>
        <w:gridCol w:w="2589"/>
      </w:tblGrid>
      <w:tr w:rsidR="00DD4D4C" w14:paraId="2D0BE405" w14:textId="77777777">
        <w:trPr>
          <w:jc w:val="center"/>
        </w:trPr>
        <w:tc>
          <w:tcPr>
            <w:tcW w:w="2592" w:type="dxa"/>
            <w:shd w:val="clear" w:color="auto" w:fill="5B9BD5"/>
          </w:tcPr>
          <w:p w14:paraId="5BFA48F0" w14:textId="77777777" w:rsidR="00DD4D4C" w:rsidRDefault="006E4AFB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592" w:type="dxa"/>
            <w:shd w:val="clear" w:color="auto" w:fill="5B9BD5"/>
          </w:tcPr>
          <w:p w14:paraId="374E1824" w14:textId="77777777" w:rsidR="00DD4D4C" w:rsidRDefault="006E4AFB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592" w:type="dxa"/>
            <w:shd w:val="clear" w:color="auto" w:fill="5B9BD5"/>
          </w:tcPr>
          <w:p w14:paraId="08CE1F6C" w14:textId="77777777" w:rsidR="00DD4D4C" w:rsidRDefault="006E4AFB"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592" w:type="dxa"/>
            <w:shd w:val="clear" w:color="auto" w:fill="5B9BD5"/>
          </w:tcPr>
          <w:p w14:paraId="3BA67656" w14:textId="77777777" w:rsidR="00DD4D4C" w:rsidRDefault="006E4AFB">
            <w:r>
              <w:rPr>
                <w:b/>
                <w:color w:val="FFFFFF"/>
                <w:sz w:val="18"/>
              </w:rPr>
              <w:t>Expected outcome / rationale</w:t>
            </w:r>
          </w:p>
        </w:tc>
      </w:tr>
      <w:tr w:rsidR="00DD4D4C" w14:paraId="1CF69F94" w14:textId="77777777">
        <w:trPr>
          <w:jc w:val="center"/>
        </w:trPr>
        <w:tc>
          <w:tcPr>
            <w:tcW w:w="2592" w:type="dxa"/>
          </w:tcPr>
          <w:p w14:paraId="560AE274" w14:textId="77777777" w:rsidR="00DD4D4C" w:rsidRDefault="006E4AFB">
            <w:r>
              <w:rPr>
                <w:sz w:val="18"/>
              </w:rPr>
              <w:t>Maintain weekly task force cadence</w:t>
            </w:r>
          </w:p>
        </w:tc>
        <w:tc>
          <w:tcPr>
            <w:tcW w:w="2592" w:type="dxa"/>
          </w:tcPr>
          <w:p w14:paraId="444069F3" w14:textId="77777777" w:rsidR="00DD4D4C" w:rsidRDefault="006E4AFB">
            <w:r>
              <w:rPr>
                <w:sz w:val="18"/>
              </w:rPr>
              <w:t>Sarah Nakamura / cross-functional task force</w:t>
            </w:r>
          </w:p>
        </w:tc>
        <w:tc>
          <w:tcPr>
            <w:tcW w:w="2592" w:type="dxa"/>
          </w:tcPr>
          <w:p w14:paraId="1DB8FE4D" w14:textId="77777777" w:rsidR="00DD4D4C" w:rsidRDefault="006E4AFB">
            <w:r>
              <w:rPr>
                <w:sz w:val="18"/>
              </w:rPr>
              <w:t>All components</w:t>
            </w:r>
          </w:p>
        </w:tc>
        <w:tc>
          <w:tcPr>
            <w:tcW w:w="2592" w:type="dxa"/>
          </w:tcPr>
          <w:p w14:paraId="56151BE1" w14:textId="77777777" w:rsidR="00DD4D4C" w:rsidRDefault="006E4AFB">
            <w:r>
              <w:rPr>
                <w:sz w:val="18"/>
              </w:rPr>
              <w:t>Keep actions visible, owners accountable, and risks escalated quickly.</w:t>
            </w:r>
          </w:p>
        </w:tc>
      </w:tr>
      <w:tr w:rsidR="00DD4D4C" w14:paraId="56343AD3" w14:textId="77777777">
        <w:trPr>
          <w:jc w:val="center"/>
        </w:trPr>
        <w:tc>
          <w:tcPr>
            <w:tcW w:w="2592" w:type="dxa"/>
          </w:tcPr>
          <w:p w14:paraId="7DF81926" w14:textId="77777777" w:rsidR="00DD4D4C" w:rsidRDefault="006E4AFB">
            <w:r>
              <w:rPr>
                <w:sz w:val="18"/>
              </w:rPr>
              <w:t>Monitor quality, traceability, delivery, and GMP indicators</w:t>
            </w:r>
          </w:p>
        </w:tc>
        <w:tc>
          <w:tcPr>
            <w:tcW w:w="2592" w:type="dxa"/>
          </w:tcPr>
          <w:p w14:paraId="0556DC86" w14:textId="77777777" w:rsidR="00DD4D4C" w:rsidRDefault="006E4AFB">
            <w:r>
              <w:rPr>
                <w:sz w:val="18"/>
              </w:rPr>
              <w:t>Quality, Procurement, and Production leads</w:t>
            </w:r>
          </w:p>
        </w:tc>
        <w:tc>
          <w:tcPr>
            <w:tcW w:w="2592" w:type="dxa"/>
          </w:tcPr>
          <w:p w14:paraId="1C5FDFAC" w14:textId="77777777" w:rsidR="00DD4D4C" w:rsidRDefault="006E4AFB">
            <w:r>
              <w:rPr>
                <w:sz w:val="18"/>
              </w:rPr>
              <w:t>All components</w:t>
            </w:r>
          </w:p>
        </w:tc>
        <w:tc>
          <w:tcPr>
            <w:tcW w:w="2592" w:type="dxa"/>
          </w:tcPr>
          <w:p w14:paraId="765B5875" w14:textId="77777777" w:rsidR="00DD4D4C" w:rsidRDefault="006E4AFB">
            <w:r>
              <w:rPr>
                <w:sz w:val="18"/>
              </w:rPr>
              <w:t>Use the discussed issue categories as standing indicators for risk tracking.</w:t>
            </w:r>
          </w:p>
        </w:tc>
      </w:tr>
      <w:tr w:rsidR="00DD4D4C" w14:paraId="62F60724" w14:textId="77777777">
        <w:trPr>
          <w:jc w:val="center"/>
        </w:trPr>
        <w:tc>
          <w:tcPr>
            <w:tcW w:w="2592" w:type="dxa"/>
          </w:tcPr>
          <w:p w14:paraId="53581430" w14:textId="77777777" w:rsidR="00DD4D4C" w:rsidRDefault="006E4AFB">
            <w:r>
              <w:rPr>
                <w:sz w:val="18"/>
              </w:rPr>
              <w:t>Preserve FDA-ready documentation</w:t>
            </w:r>
          </w:p>
        </w:tc>
        <w:tc>
          <w:tcPr>
            <w:tcW w:w="2592" w:type="dxa"/>
          </w:tcPr>
          <w:p w14:paraId="7FF242B5" w14:textId="77777777" w:rsidR="00DD4D4C" w:rsidRDefault="006E4AFB">
            <w:r>
              <w:rPr>
                <w:sz w:val="18"/>
              </w:rPr>
              <w:t>Maria Sanchez / Documentation owners</w:t>
            </w:r>
          </w:p>
        </w:tc>
        <w:tc>
          <w:tcPr>
            <w:tcW w:w="2592" w:type="dxa"/>
          </w:tcPr>
          <w:p w14:paraId="53DBA5DC" w14:textId="77777777" w:rsidR="00DD4D4C" w:rsidRDefault="006E4AFB">
            <w:r>
              <w:rPr>
                <w:sz w:val="18"/>
              </w:rPr>
              <w:t>All components</w:t>
            </w:r>
          </w:p>
        </w:tc>
        <w:tc>
          <w:tcPr>
            <w:tcW w:w="2592" w:type="dxa"/>
          </w:tcPr>
          <w:p w14:paraId="741E95C4" w14:textId="77777777" w:rsidR="00DD4D4C" w:rsidRDefault="006E4AFB">
            <w:r>
              <w:rPr>
                <w:sz w:val="18"/>
              </w:rPr>
              <w:t>Keep discrepancy logs, audit findings, supplier remediation evidence, and corrective actions updated.</w:t>
            </w:r>
          </w:p>
        </w:tc>
      </w:tr>
      <w:tr w:rsidR="00DD4D4C" w14:paraId="248A639D" w14:textId="77777777">
        <w:trPr>
          <w:jc w:val="center"/>
        </w:trPr>
        <w:tc>
          <w:tcPr>
            <w:tcW w:w="2592" w:type="dxa"/>
          </w:tcPr>
          <w:p w14:paraId="1CC74F3B" w14:textId="77777777" w:rsidR="00DD4D4C" w:rsidRDefault="006E4AFB">
            <w:r>
              <w:rPr>
                <w:sz w:val="18"/>
              </w:rPr>
              <w:t>Review supplier performance and contingency readiness</w:t>
            </w:r>
          </w:p>
        </w:tc>
        <w:tc>
          <w:tcPr>
            <w:tcW w:w="2592" w:type="dxa"/>
          </w:tcPr>
          <w:p w14:paraId="10E1947B" w14:textId="77777777" w:rsidR="00DD4D4C" w:rsidRDefault="006E4AFB">
            <w:r>
              <w:rPr>
                <w:sz w:val="18"/>
              </w:rPr>
              <w:t>Ravi Patel / Procurement</w:t>
            </w:r>
          </w:p>
        </w:tc>
        <w:tc>
          <w:tcPr>
            <w:tcW w:w="2592" w:type="dxa"/>
          </w:tcPr>
          <w:p w14:paraId="7746B107" w14:textId="77777777" w:rsidR="00DD4D4C" w:rsidRDefault="006E4AFB">
            <w:r>
              <w:rPr>
                <w:sz w:val="18"/>
              </w:rPr>
              <w:t>All suppliers</w:t>
            </w:r>
          </w:p>
        </w:tc>
        <w:tc>
          <w:tcPr>
            <w:tcW w:w="2592" w:type="dxa"/>
          </w:tcPr>
          <w:p w14:paraId="38D1568B" w14:textId="77777777" w:rsidR="00DD4D4C" w:rsidRDefault="006E4AFB">
            <w:r>
              <w:rPr>
                <w:sz w:val="18"/>
              </w:rPr>
              <w:t>Continue assessing whether current suppliers are improving or whether alternate sourcing should be activated.</w:t>
            </w:r>
          </w:p>
        </w:tc>
      </w:tr>
      <w:tr w:rsidR="00DD4D4C" w14:paraId="39C5E13C" w14:textId="77777777">
        <w:trPr>
          <w:jc w:val="center"/>
        </w:trPr>
        <w:tc>
          <w:tcPr>
            <w:tcW w:w="2592" w:type="dxa"/>
          </w:tcPr>
          <w:p w14:paraId="57BB9317" w14:textId="77777777" w:rsidR="00DD4D4C" w:rsidRDefault="006E4AFB">
            <w:r>
              <w:rPr>
                <w:sz w:val="18"/>
              </w:rPr>
              <w:t>Capture production impacts and mitigation needs</w:t>
            </w:r>
          </w:p>
        </w:tc>
        <w:tc>
          <w:tcPr>
            <w:tcW w:w="2592" w:type="dxa"/>
          </w:tcPr>
          <w:p w14:paraId="64569B8C" w14:textId="77777777" w:rsidR="00DD4D4C" w:rsidRDefault="006E4AFB">
            <w:r>
              <w:rPr>
                <w:sz w:val="18"/>
              </w:rPr>
              <w:t>Eleanor Wright / Production</w:t>
            </w:r>
          </w:p>
        </w:tc>
        <w:tc>
          <w:tcPr>
            <w:tcW w:w="2592" w:type="dxa"/>
          </w:tcPr>
          <w:p w14:paraId="4C6E0A0B" w14:textId="77777777" w:rsidR="00DD4D4C" w:rsidRDefault="006E4AFB">
            <w:r>
              <w:rPr>
                <w:sz w:val="18"/>
              </w:rPr>
              <w:t>COMP042 / COMP043</w:t>
            </w:r>
          </w:p>
        </w:tc>
        <w:tc>
          <w:tcPr>
            <w:tcW w:w="2592" w:type="dxa"/>
          </w:tcPr>
          <w:p w14:paraId="5E0B770F" w14:textId="77777777" w:rsidR="00DD4D4C" w:rsidRDefault="006E4AFB">
            <w:r>
              <w:rPr>
                <w:sz w:val="18"/>
              </w:rPr>
              <w:t>Track batch interruptions, resource reallocations, and downstream product-line impacts for leadership decisions.</w:t>
            </w:r>
          </w:p>
        </w:tc>
      </w:tr>
    </w:tbl>
    <w:p w14:paraId="02EB378F" w14:textId="77777777" w:rsidR="00DD4D4C" w:rsidRDefault="00DD4D4C"/>
    <w:p w14:paraId="604B3BEA" w14:textId="77777777" w:rsidR="00DD4D4C" w:rsidRDefault="006E4AFB">
      <w:pPr>
        <w:pStyle w:val="Heading1"/>
      </w:pPr>
      <w:r>
        <w:rPr>
          <w:color w:val="1F4E79"/>
        </w:rPr>
        <w:t>Decision and Follow-Up Log</w:t>
      </w:r>
    </w:p>
    <w:p w14:paraId="24B41897" w14:textId="77777777" w:rsidR="00DD4D4C" w:rsidRDefault="006E4AFB">
      <w:pPr>
        <w:pStyle w:val="ListBullet"/>
      </w:pPr>
      <w:r>
        <w:t>Meeting summary to include specific action owners and deadlines.</w:t>
      </w:r>
    </w:p>
    <w:p w14:paraId="15BCDDC2" w14:textId="77777777" w:rsidR="00DD4D4C" w:rsidRDefault="006E4AFB">
      <w:pPr>
        <w:pStyle w:val="ListBullet"/>
      </w:pPr>
      <w:r>
        <w:t>Team to reconvene in one week to review progress.</w:t>
      </w:r>
    </w:p>
    <w:p w14:paraId="5DD6908D" w14:textId="77777777" w:rsidR="00DD4D4C" w:rsidRDefault="006E4AFB">
      <w:pPr>
        <w:pStyle w:val="ListBullet"/>
      </w:pPr>
      <w:r>
        <w:t>Task force to provide weekly updates on supplier, quality, production, and compliance actions.</w:t>
      </w:r>
    </w:p>
    <w:p w14:paraId="2305C993" w14:textId="77777777" w:rsidR="00DD4D4C" w:rsidRDefault="006E4AFB">
      <w:r>
        <w:rPr>
          <w:i/>
          <w:color w:val="595959"/>
          <w:sz w:val="16"/>
        </w:rPr>
        <w:t>Source: Teams Meeting Transcript.docx and meeting context for "test: Supply Chain Issues Review".</w:t>
      </w:r>
    </w:p>
    <w:sectPr w:rsidR="00DD4D4C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C46DB" w14:textId="77777777" w:rsidR="006E4AFB" w:rsidRDefault="006E4AFB">
      <w:pPr>
        <w:spacing w:after="0" w:line="240" w:lineRule="auto"/>
      </w:pPr>
      <w:r>
        <w:separator/>
      </w:r>
    </w:p>
  </w:endnote>
  <w:endnote w:type="continuationSeparator" w:id="0">
    <w:p w14:paraId="536B30F3" w14:textId="77777777" w:rsidR="006E4AFB" w:rsidRDefault="006E4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55FC" w14:textId="77777777" w:rsidR="00DD4D4C" w:rsidRDefault="006E4AFB">
    <w:pPr>
      <w:pStyle w:val="Footer"/>
      <w:jc w:val="center"/>
    </w:pPr>
    <w:r>
      <w:rPr>
        <w:color w:val="808080"/>
        <w:sz w:val="16"/>
      </w:rPr>
      <w:t>Confidential - Draft action plan generated from meeting transcript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008F" w14:textId="77777777" w:rsidR="006E4AFB" w:rsidRDefault="006E4AFB">
      <w:pPr>
        <w:spacing w:after="0" w:line="240" w:lineRule="auto"/>
      </w:pPr>
      <w:r>
        <w:separator/>
      </w:r>
    </w:p>
  </w:footnote>
  <w:footnote w:type="continuationSeparator" w:id="0">
    <w:p w14:paraId="491D80B0" w14:textId="77777777" w:rsidR="006E4AFB" w:rsidRDefault="006E4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764131">
    <w:abstractNumId w:val="8"/>
  </w:num>
  <w:num w:numId="2" w16cid:durableId="845562361">
    <w:abstractNumId w:val="6"/>
  </w:num>
  <w:num w:numId="3" w16cid:durableId="45763387">
    <w:abstractNumId w:val="5"/>
  </w:num>
  <w:num w:numId="4" w16cid:durableId="405420743">
    <w:abstractNumId w:val="4"/>
  </w:num>
  <w:num w:numId="5" w16cid:durableId="2130973623">
    <w:abstractNumId w:val="7"/>
  </w:num>
  <w:num w:numId="6" w16cid:durableId="270555620">
    <w:abstractNumId w:val="3"/>
  </w:num>
  <w:num w:numId="7" w16cid:durableId="1151749941">
    <w:abstractNumId w:val="2"/>
  </w:num>
  <w:num w:numId="8" w16cid:durableId="1049915281">
    <w:abstractNumId w:val="1"/>
  </w:num>
  <w:num w:numId="9" w16cid:durableId="109963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4AFB"/>
    <w:rsid w:val="00A919A1"/>
    <w:rsid w:val="00AA1D8D"/>
    <w:rsid w:val="00B47730"/>
    <w:rsid w:val="00CB0664"/>
    <w:rsid w:val="00DD4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CB0E9C-184F-4D51-A333-F9FB26CB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990</Words>
  <Characters>5648</Characters>
  <Application>Microsoft Office Word</Application>
  <DocSecurity>0</DocSecurity>
  <Lines>47</Lines>
  <Paragraphs>13</Paragraphs>
  <ScaleCrop>false</ScaleCrop>
  <Manager/>
  <Company/>
  <LinksUpToDate>false</LinksUpToDate>
  <CharactersWithSpaces>6625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Franco, Alexandre [MEDBR]</dc:creator>
  <cp:keywords/>
  <dc:description>generated by python-docx</dc:description>
  <cp:lastModifiedBy>Franco, Alexandre [MEDBR]</cp:lastModifiedBy>
  <cp:revision>2</cp:revision>
  <dcterms:created xsi:type="dcterms:W3CDTF">2026-08-18T20:59:00Z</dcterms:created>
  <dcterms:modified xsi:type="dcterms:W3CDTF">2026-08-18T20:59:00Z</dcterms:modified>
  <cp:category/>
</cp:coreProperties>
</file>