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7089F" w14:textId="77777777" w:rsidR="006F3E76" w:rsidRDefault="002555F6">
      <w:pPr>
        <w:pStyle w:val="Heading1"/>
        <w:rPr>
          <w:rFonts w:asciiTheme="minorHAnsi" w:hAnsiTheme="minorHAnsi" w:cstheme="minorBidi"/>
        </w:rPr>
      </w:pPr>
      <w:r w:rsidRPr="002555F6">
        <w:rPr>
          <w:rFonts w:asciiTheme="minorHAnsi" w:hAnsiTheme="minorHAnsi" w:cstheme="minorBidi"/>
        </w:rPr>
        <w:t>Supply Chain Issue Analysis Report</w:t>
      </w:r>
    </w:p>
    <w:p w14:paraId="45EFF283" w14:textId="77777777" w:rsidR="002555F6" w:rsidRDefault="002555F6">
      <w:r>
        <w:t>This report summarizes the supply chain performance analysis across 50 component-supplier records, focusing on delivery risk, delayed components, supplier performance, compliance implications, root causes, and mitigation actions.</w:t>
      </w:r>
    </w:p>
    <w:p w14:paraId="782A487D" w14:textId="77777777" w:rsidR="002555F6" w:rsidRDefault="002555F6">
      <w:pPr>
        <w:pStyle w:val="Heading2"/>
        <w:rPr>
          <w:rFonts w:asciiTheme="minorHAnsi" w:hAnsiTheme="minorHAnsi" w:cstheme="minorBidi"/>
        </w:rPr>
      </w:pPr>
      <w:r>
        <w:rPr>
          <w:rFonts w:asciiTheme="minorHAnsi" w:hAnsiTheme="minorHAnsi" w:cstheme="minorBidi"/>
        </w:rPr>
        <w:t>1. Executive Summary</w:t>
      </w:r>
    </w:p>
    <w:p w14:paraId="428CE8B3" w14:textId="77777777" w:rsidR="002555F6" w:rsidRDefault="002555F6">
      <w:r>
        <w:t>The analysis indicates a supply chain environment with moderate delivery exposure and supplier-specific performance gaps. Medium-risk records represent the largest share of the dataset at 48% and show the longest average delivery timeline at 15.1 days. This suggests that risk classification may not be fully aligned with operational urgency, as medium-risk items are creating the greatest average timeline pressure.</w:t>
      </w:r>
    </w:p>
    <w:p w14:paraId="5A11BE03" w14:textId="77777777" w:rsidR="002555F6" w:rsidRDefault="002555F6">
      <w:r>
        <w:t xml:space="preserve">Delayed-component performance is concentrated in three components: CARB123, BIND567, and COAT890. Among these, COAT890 is the most concerning delayed component, with the lowest average on-time delivery rate at 84.2% across five records. Supplier performance varies materially: NextGen Pharma leads on-time delivery at 91.5% and has the lowest defect rate at 2.22%, while </w:t>
      </w:r>
      <w:proofErr w:type="spellStart"/>
      <w:r>
        <w:t>EcoSupply</w:t>
      </w:r>
      <w:proofErr w:type="spellEnd"/>
      <w:r>
        <w:t xml:space="preserve"> and </w:t>
      </w:r>
      <w:proofErr w:type="spellStart"/>
      <w:r>
        <w:t>PrimeLogistics</w:t>
      </w:r>
      <w:proofErr w:type="spellEnd"/>
      <w:r>
        <w:t xml:space="preserve"> show weaker average on-time delivery performance and elevated </w:t>
      </w:r>
      <w:proofErr w:type="gramStart"/>
      <w:r>
        <w:t>backorder</w:t>
      </w:r>
      <w:proofErr w:type="gramEnd"/>
      <w:r>
        <w:t xml:space="preserve"> exposure.</w:t>
      </w:r>
    </w:p>
    <w:p w14:paraId="35113AE7" w14:textId="77777777" w:rsidR="002555F6" w:rsidRDefault="002555F6">
      <w:r>
        <w:t>Overall, the key issues are extended delivery timelines, inconsistent on-time delivery for delayed components, and supplier-specific reliability and quality variability. These issues may increase operational disruption, compliance risk, backorder volumes, and the need for premium mitigation actions such as expedite shipping or emergency sourcing.</w:t>
      </w:r>
    </w:p>
    <w:p w14:paraId="40F8F163" w14:textId="77777777" w:rsidR="002555F6" w:rsidRDefault="002555F6">
      <w:pPr>
        <w:pStyle w:val="Heading2"/>
        <w:rPr>
          <w:rFonts w:asciiTheme="minorHAnsi" w:hAnsiTheme="minorHAnsi" w:cstheme="minorBidi"/>
        </w:rPr>
      </w:pPr>
      <w:r>
        <w:rPr>
          <w:rFonts w:asciiTheme="minorHAnsi" w:hAnsiTheme="minorHAnsi" w:cstheme="minorBidi"/>
        </w:rPr>
        <w:t>2. Component Overview</w:t>
      </w:r>
    </w:p>
    <w:p w14:paraId="15411E1E" w14:textId="77777777" w:rsidR="002555F6" w:rsidRDefault="002555F6">
      <w:r>
        <w:t>The analysis identifies component-level delivery concerns mainly among delayed components. COAT890 requires priority attention due to its combination of multiple delayed records and the lowest average on-time delivery performance. CARB123 has four delayed records and a moderate average on-time delivery rate of 90.25%, indicating recurring but less severe delivery instability. BIND567 appears in only one delayed record but maintains a strong on-time delivery rate of 99%, suggesting a lower immediate delivery concern.</w:t>
      </w:r>
    </w:p>
    <w:tbl>
      <w:tblPr>
        <w:tblStyle w:val="GridTable4-Accent1"/>
        <w:tblW w:w="0" w:type="auto"/>
        <w:tblInd w:w="0" w:type="dxa"/>
        <w:tblLook w:val="04A0" w:firstRow="1" w:lastRow="0" w:firstColumn="1" w:lastColumn="0" w:noHBand="0" w:noVBand="1"/>
      </w:tblPr>
      <w:tblGrid>
        <w:gridCol w:w="1512"/>
        <w:gridCol w:w="1457"/>
        <w:gridCol w:w="1976"/>
        <w:gridCol w:w="4399"/>
      </w:tblGrid>
      <w:tr w:rsidR="002555F6" w14:paraId="09B1EB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45C028" w14:textId="77777777" w:rsidR="002555F6" w:rsidRDefault="002555F6">
            <w:pPr>
              <w:spacing w:after="160"/>
            </w:pPr>
            <w:r>
              <w:rPr>
                <w:b/>
                <w:bCs/>
              </w:rPr>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0E997C5" w14:textId="77777777" w:rsidR="002555F6" w:rsidRDefault="002555F6">
            <w:pPr>
              <w:spacing w:after="160"/>
            </w:pPr>
            <w:r>
              <w:rPr>
                <w:b/>
                <w:bCs/>
              </w:rPr>
              <w:t>Delayed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04737" w14:textId="77777777" w:rsidR="002555F6" w:rsidRDefault="002555F6">
            <w:pPr>
              <w:spacing w:after="160"/>
            </w:pPr>
            <w:r>
              <w:rPr>
                <w:b/>
                <w:bCs/>
              </w:rPr>
              <w:t>Average On-Time Delivery Rate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A690356" w14:textId="77777777" w:rsidR="002555F6" w:rsidRDefault="002555F6">
            <w:pPr>
              <w:spacing w:after="160"/>
            </w:pPr>
            <w:r>
              <w:rPr>
                <w:b/>
                <w:bCs/>
              </w:rPr>
              <w:t>Assessment</w:t>
            </w:r>
          </w:p>
        </w:tc>
      </w:tr>
      <w:tr w:rsidR="002555F6" w14:paraId="10A671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B1324F" w14:textId="77777777" w:rsidR="002555F6" w:rsidRDefault="002555F6">
            <w:pPr>
              <w:spacing w:after="160"/>
            </w:pPr>
            <w:r>
              <w:lastRenderedPageBreak/>
              <w:t>COAT890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E3B1B3" w14:textId="77777777" w:rsidR="002555F6" w:rsidRDefault="002555F6">
            <w:pPr>
              <w:spacing w:after="160"/>
            </w:pPr>
            <w: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3251849" w14:textId="77777777" w:rsidR="002555F6" w:rsidRDefault="002555F6">
            <w:pPr>
              <w:spacing w:after="160"/>
            </w:pPr>
            <w:r>
              <w:t>84.2%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2196E3" w14:textId="77777777" w:rsidR="002555F6" w:rsidRDefault="002555F6">
            <w:pPr>
              <w:spacing w:after="160"/>
            </w:pPr>
            <w:r>
              <w:t>Highest component-level delivery concern; requires targeted supplier and inventory action.</w:t>
            </w:r>
          </w:p>
        </w:tc>
      </w:tr>
      <w:tr w:rsidR="002555F6" w14:paraId="18052D8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632926" w14:textId="77777777" w:rsidR="002555F6" w:rsidRDefault="002555F6">
            <w:pPr>
              <w:spacing w:after="160"/>
            </w:pPr>
            <w:r>
              <w:t>CARB123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32E7EF4" w14:textId="77777777" w:rsidR="002555F6" w:rsidRDefault="002555F6">
            <w:pPr>
              <w:spacing w:after="160"/>
            </w:pPr>
            <w: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09C942EA" w14:textId="77777777" w:rsidR="002555F6" w:rsidRDefault="002555F6">
            <w:pPr>
              <w:spacing w:after="160"/>
            </w:pPr>
            <w:r>
              <w:t>90.25%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918D08C" w14:textId="77777777" w:rsidR="002555F6" w:rsidRDefault="002555F6">
            <w:pPr>
              <w:spacing w:after="160"/>
            </w:pPr>
            <w:r>
              <w:t>Moderate recurring delay pattern; requires monitoring and corrective supplier engagement.</w:t>
            </w:r>
          </w:p>
        </w:tc>
      </w:tr>
      <w:tr w:rsidR="002555F6" w14:paraId="4EF747A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B157E3" w14:textId="77777777" w:rsidR="002555F6" w:rsidRDefault="002555F6">
            <w:pPr>
              <w:spacing w:after="160"/>
            </w:pPr>
            <w:r>
              <w:t>BIND567</w:t>
            </w:r>
          </w:p>
        </w:tc>
        <w:tc>
          <w:tcPr>
            <w:tcW w:w="0" w:type="auto"/>
            <w:tcBorders>
              <w:top w:val="outset" w:sz="6" w:space="0" w:color="auto"/>
              <w:left w:val="outset" w:sz="6" w:space="0" w:color="auto"/>
              <w:bottom w:val="outset" w:sz="6" w:space="0" w:color="auto"/>
              <w:right w:val="outset" w:sz="6" w:space="0" w:color="auto"/>
            </w:tcBorders>
            <w:vAlign w:val="center"/>
            <w:hideMark/>
          </w:tcPr>
          <w:p w14:paraId="438554E4" w14:textId="77777777" w:rsidR="002555F6" w:rsidRDefault="002555F6">
            <w:pPr>
              <w:spacing w:after="160"/>
            </w:pPr>
            <w: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D1675DC" w14:textId="77777777" w:rsidR="002555F6" w:rsidRDefault="002555F6">
            <w:pPr>
              <w:spacing w:after="160"/>
            </w:pPr>
            <w:r>
              <w:t>99.0%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B45A42" w14:textId="77777777" w:rsidR="002555F6" w:rsidRDefault="002555F6">
            <w:pPr>
              <w:spacing w:after="160"/>
            </w:pPr>
            <w:r>
              <w:t>Limited delayed exposure; manage through routine tracking and contingency review.</w:t>
            </w:r>
          </w:p>
        </w:tc>
      </w:tr>
    </w:tbl>
    <w:p w14:paraId="40E6C869" w14:textId="77777777" w:rsidR="002555F6" w:rsidRDefault="002555F6"/>
    <w:p w14:paraId="4923E3A6" w14:textId="77777777" w:rsidR="002555F6" w:rsidRDefault="002555F6">
      <w:pPr>
        <w:pStyle w:val="Heading2"/>
        <w:rPr>
          <w:rFonts w:asciiTheme="minorHAnsi" w:hAnsiTheme="minorHAnsi" w:cstheme="minorBidi"/>
        </w:rPr>
      </w:pPr>
      <w:r>
        <w:rPr>
          <w:rFonts w:asciiTheme="minorHAnsi" w:hAnsiTheme="minorHAnsi" w:cstheme="minorBidi"/>
        </w:rPr>
        <w:t>3. Implications for Compliance</w:t>
      </w:r>
    </w:p>
    <w:p w14:paraId="67D8D690" w14:textId="77777777" w:rsidR="002555F6" w:rsidRDefault="002555F6">
      <w:r>
        <w:t>Supply chain instability can have direct and indirect compliance implications, particularly when components are linked to regulated manufacturing, quality release, customer commitments, or validated production processes. Extended delivery timelines and inconsistent on-time delivery may increase the risk of production interruptions, short-term substitutions, expedited supplier changes, or inventory drawdowns below validated safety thresholds.</w:t>
      </w:r>
    </w:p>
    <w:p w14:paraId="2C2E6F54" w14:textId="77777777" w:rsidR="002555F6" w:rsidRDefault="002555F6">
      <w:r>
        <w:t>Quality-related indicators also require attention. Supplier defect rates range from 2.22% to 2.89% on average, while inspection pass rates range from 92.43% to 94.56%. Although these values do not independently indicate non-compliance, suppliers with weaker delivery reliability and higher quality variability may create elevated risk when delays pressure teams to accelerate receiving, inspection, or release activities.</w:t>
      </w:r>
    </w:p>
    <w:p w14:paraId="7DDD1B3B" w14:textId="77777777" w:rsidR="002555F6" w:rsidRDefault="002555F6">
      <w:r>
        <w:t>Compliance controls should therefore focus on maintaining approved supplier usage, preserving quality inspection discipline during expedite scenarios, documenting mitigation decisions, and ensuring that component substitutions or sourcing changes follow established qualification and change-control requirements.</w:t>
      </w:r>
    </w:p>
    <w:p w14:paraId="5ED2F823" w14:textId="77777777" w:rsidR="002555F6" w:rsidRDefault="002555F6">
      <w:pPr>
        <w:pStyle w:val="Heading2"/>
        <w:rPr>
          <w:rFonts w:asciiTheme="minorHAnsi" w:hAnsiTheme="minorHAnsi" w:cstheme="minorBidi"/>
        </w:rPr>
      </w:pPr>
      <w:r>
        <w:rPr>
          <w:rFonts w:asciiTheme="minorHAnsi" w:hAnsiTheme="minorHAnsi" w:cstheme="minorBidi"/>
        </w:rPr>
        <w:t>4. Root Cause Analysis</w:t>
      </w:r>
    </w:p>
    <w:p w14:paraId="4BA387E6" w14:textId="77777777" w:rsidR="002555F6" w:rsidRDefault="002555F6">
      <w:r>
        <w:t>The data points to several likely root causes behind the supply chain issues. First, risk levels do not appear to correlate cleanly with delivery performance. Medium-risk records have the longest average delivery timeline, which may indicate that medium-risk items are not receiving sufficient management attention or that risk scoring is not incorporating delivery volatility with enough weight.</w:t>
      </w:r>
    </w:p>
    <w:p w14:paraId="1732707C" w14:textId="77777777" w:rsidR="002555F6" w:rsidRDefault="002555F6">
      <w:r>
        <w:t xml:space="preserve">Second, supplier performance is uneven. </w:t>
      </w:r>
      <w:proofErr w:type="spellStart"/>
      <w:r>
        <w:t>GlobalChem</w:t>
      </w:r>
      <w:proofErr w:type="spellEnd"/>
      <w:r>
        <w:t xml:space="preserve"> shows the longest average delivery timeline at 16.4 days, while </w:t>
      </w:r>
      <w:proofErr w:type="spellStart"/>
      <w:r>
        <w:t>EcoSupply</w:t>
      </w:r>
      <w:proofErr w:type="spellEnd"/>
      <w:r>
        <w:t xml:space="preserve"> has the </w:t>
      </w:r>
      <w:proofErr w:type="gramStart"/>
      <w:r>
        <w:t>lowest average</w:t>
      </w:r>
      <w:proofErr w:type="gramEnd"/>
      <w:r>
        <w:t xml:space="preserve"> on-time delivery rate at </w:t>
      </w:r>
      <w:r>
        <w:lastRenderedPageBreak/>
        <w:t xml:space="preserve">87.9%. </w:t>
      </w:r>
      <w:proofErr w:type="spellStart"/>
      <w:r>
        <w:t>PrimeLogistics</w:t>
      </w:r>
      <w:proofErr w:type="spellEnd"/>
      <w:r>
        <w:t xml:space="preserve"> also shows low on-time delivery performance at 88.0% and the highest average defect rate among suppliers at 2.89%. These differences suggest that supplier management, capacity constraints, logistics reliability, or contract execution may be contributing to inconsistent fulfillment.</w:t>
      </w:r>
    </w:p>
    <w:p w14:paraId="7D9DC171" w14:textId="77777777" w:rsidR="002555F6" w:rsidRDefault="002555F6">
      <w:r>
        <w:t>Third, component-specific exposure is concentrated in COAT890 and CARB123. COAT890 combines the highest delayed-record count with the weakest delayed-component on-time delivery rate, suggesting either supplier dependency, planning mismatch, or repeated logistics variability. CARB123 also shows repeated delay records, indicating that the issue is recurring rather than isolated.</w:t>
      </w:r>
    </w:p>
    <w:p w14:paraId="2387E7F7" w14:textId="77777777" w:rsidR="002555F6" w:rsidRDefault="002555F6">
      <w:pPr>
        <w:pStyle w:val="Heading2"/>
        <w:rPr>
          <w:rFonts w:asciiTheme="minorHAnsi" w:hAnsiTheme="minorHAnsi" w:cstheme="minorBidi"/>
        </w:rPr>
      </w:pPr>
      <w:r>
        <w:rPr>
          <w:rFonts w:asciiTheme="minorHAnsi" w:hAnsiTheme="minorHAnsi" w:cstheme="minorBidi"/>
        </w:rPr>
        <w:t>5. Mitigation Strategies</w:t>
      </w:r>
    </w:p>
    <w:p w14:paraId="22E5A1FE" w14:textId="77777777" w:rsidR="002555F6" w:rsidRDefault="002555F6">
      <w:pPr>
        <w:pStyle w:val="Heading3"/>
        <w:rPr>
          <w:rFonts w:cstheme="minorBidi"/>
        </w:rPr>
      </w:pPr>
      <w:r>
        <w:rPr>
          <w:rFonts w:cstheme="minorBidi"/>
        </w:rPr>
        <w:t>General Mitigation Strategies</w:t>
      </w:r>
    </w:p>
    <w:p w14:paraId="47ED3F25" w14:textId="77777777" w:rsidR="002555F6" w:rsidRDefault="002555F6" w:rsidP="002555F6">
      <w:pPr>
        <w:pStyle w:val="ListParagraph"/>
        <w:numPr>
          <w:ilvl w:val="0"/>
          <w:numId w:val="1"/>
        </w:numPr>
      </w:pPr>
      <w:r w:rsidRPr="002555F6">
        <w:rPr>
          <w:b/>
          <w:bCs/>
        </w:rPr>
        <w:t>Recalibrate risk scoring:</w:t>
      </w:r>
      <w:r>
        <w:t xml:space="preserve"> Update the risk model to incorporate delivery timeline, lead time variance, on-time delivery, backorder volume, and forecast accuracy so medium-risk items with long delivery timelines are escalated earlier.</w:t>
      </w:r>
    </w:p>
    <w:p w14:paraId="739C4EA6" w14:textId="77777777" w:rsidR="002555F6" w:rsidRDefault="002555F6" w:rsidP="002555F6">
      <w:pPr>
        <w:pStyle w:val="ListParagraph"/>
        <w:numPr>
          <w:ilvl w:val="0"/>
          <w:numId w:val="1"/>
        </w:numPr>
      </w:pPr>
      <w:r>
        <w:rPr>
          <w:b/>
          <w:bCs/>
        </w:rPr>
        <w:t>Strengthen supplier performance governance:</w:t>
      </w:r>
      <w:r>
        <w:t xml:space="preserve"> Establish a recurring supplier </w:t>
      </w:r>
      <w:proofErr w:type="gramStart"/>
      <w:r>
        <w:t>scorecard review</w:t>
      </w:r>
      <w:proofErr w:type="gramEnd"/>
      <w:r>
        <w:t xml:space="preserve"> focused on on-time delivery, reliability, defect rate, inspection pass rate, and backorders.</w:t>
      </w:r>
    </w:p>
    <w:p w14:paraId="4E8218D6" w14:textId="77777777" w:rsidR="002555F6" w:rsidRDefault="002555F6" w:rsidP="002555F6">
      <w:pPr>
        <w:pStyle w:val="ListParagraph"/>
        <w:numPr>
          <w:ilvl w:val="0"/>
          <w:numId w:val="1"/>
        </w:numPr>
      </w:pPr>
      <w:r>
        <w:rPr>
          <w:b/>
          <w:bCs/>
        </w:rPr>
        <w:t>Increase inventory buffers selectively:</w:t>
      </w:r>
      <w:r>
        <w:t xml:space="preserve"> Apply safety stock increases to components with recurring delays, low on-time delivery, or high production usage rates rather than applying blanket inventory increases.</w:t>
      </w:r>
    </w:p>
    <w:p w14:paraId="6FFF9E2F" w14:textId="77777777" w:rsidR="002555F6" w:rsidRDefault="002555F6" w:rsidP="002555F6">
      <w:pPr>
        <w:pStyle w:val="ListParagraph"/>
        <w:numPr>
          <w:ilvl w:val="0"/>
          <w:numId w:val="1"/>
        </w:numPr>
      </w:pPr>
      <w:r>
        <w:rPr>
          <w:b/>
          <w:bCs/>
        </w:rPr>
        <w:t>Formalize expedite criteria:</w:t>
      </w:r>
      <w:r>
        <w:t xml:space="preserve"> Define when expedite shipping is justified based on production impact, compliance risk, customer service exposure, and total cost.</w:t>
      </w:r>
    </w:p>
    <w:p w14:paraId="3C64661D" w14:textId="77777777" w:rsidR="002555F6" w:rsidRDefault="002555F6" w:rsidP="002555F6">
      <w:pPr>
        <w:pStyle w:val="ListParagraph"/>
        <w:numPr>
          <w:ilvl w:val="0"/>
          <w:numId w:val="1"/>
        </w:numPr>
      </w:pPr>
      <w:r>
        <w:rPr>
          <w:b/>
          <w:bCs/>
        </w:rPr>
        <w:t>Develop qualified alternatives:</w:t>
      </w:r>
      <w:r>
        <w:t xml:space="preserve"> Prioritize dual sourcing or pre-qualified alternatives for components with repeated delay patterns, especially where supplier concentration or long lead times create operational dependency.</w:t>
      </w:r>
    </w:p>
    <w:p w14:paraId="68A3253D" w14:textId="77777777" w:rsidR="002555F6" w:rsidRDefault="002555F6">
      <w:pPr>
        <w:pStyle w:val="Heading3"/>
        <w:rPr>
          <w:rFonts w:cstheme="minorBidi"/>
        </w:rPr>
      </w:pPr>
      <w:r>
        <w:rPr>
          <w:rFonts w:cstheme="minorBidi"/>
        </w:rPr>
        <w:t>Component-Specific Mitigation Strategies</w:t>
      </w:r>
    </w:p>
    <w:tbl>
      <w:tblPr>
        <w:tblStyle w:val="GridTable4-Accent1"/>
        <w:tblW w:w="0" w:type="auto"/>
        <w:tblInd w:w="0" w:type="dxa"/>
        <w:tblLook w:val="04A0" w:firstRow="1" w:lastRow="0" w:firstColumn="1" w:lastColumn="0" w:noHBand="0" w:noVBand="1"/>
      </w:tblPr>
      <w:tblGrid>
        <w:gridCol w:w="1512"/>
        <w:gridCol w:w="2943"/>
        <w:gridCol w:w="4889"/>
      </w:tblGrid>
      <w:tr w:rsidR="002555F6" w14:paraId="71F1B52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D571A4" w14:textId="77777777" w:rsidR="002555F6" w:rsidRDefault="002555F6">
            <w:pPr>
              <w:spacing w:after="160"/>
            </w:pPr>
            <w:r>
              <w:rPr>
                <w:b/>
                <w:bCs/>
              </w:rPr>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59205" w14:textId="77777777" w:rsidR="002555F6" w:rsidRDefault="002555F6">
            <w:pPr>
              <w:spacing w:after="160"/>
            </w:pPr>
            <w:r>
              <w:rPr>
                <w:b/>
                <w:bCs/>
              </w:rPr>
              <w:t>Primary Issue</w:t>
            </w:r>
          </w:p>
        </w:tc>
        <w:tc>
          <w:tcPr>
            <w:tcW w:w="0" w:type="auto"/>
            <w:tcBorders>
              <w:top w:val="outset" w:sz="6" w:space="0" w:color="auto"/>
              <w:left w:val="outset" w:sz="6" w:space="0" w:color="auto"/>
              <w:bottom w:val="outset" w:sz="6" w:space="0" w:color="auto"/>
              <w:right w:val="outset" w:sz="6" w:space="0" w:color="auto"/>
            </w:tcBorders>
            <w:vAlign w:val="center"/>
            <w:hideMark/>
          </w:tcPr>
          <w:p w14:paraId="4C6FA3F4" w14:textId="77777777" w:rsidR="002555F6" w:rsidRDefault="002555F6">
            <w:pPr>
              <w:spacing w:after="160"/>
            </w:pPr>
            <w:r>
              <w:rPr>
                <w:b/>
                <w:bCs/>
              </w:rPr>
              <w:t>Recommended Mitigation</w:t>
            </w:r>
          </w:p>
        </w:tc>
      </w:tr>
      <w:tr w:rsidR="002555F6" w14:paraId="10F54D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C0BB57" w14:textId="77777777" w:rsidR="002555F6" w:rsidRDefault="002555F6">
            <w:pPr>
              <w:spacing w:after="160"/>
            </w:pPr>
            <w:r>
              <w:t>COAT890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DFEEC4" w14:textId="77777777" w:rsidR="002555F6" w:rsidRDefault="002555F6">
            <w:pPr>
              <w:spacing w:after="160"/>
            </w:pPr>
            <w:r>
              <w:t>Lowest delayed-component on-time delivery rate and highest delayed-record 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5D7C034" w14:textId="77777777" w:rsidR="002555F6" w:rsidRDefault="002555F6">
            <w:pPr>
              <w:spacing w:after="160"/>
            </w:pPr>
            <w:r>
              <w:t>Prioritize supplier corrective action, review contract/service-level commitments, increase near-term safety stock, and qualify an alternate source where feasible.</w:t>
            </w:r>
          </w:p>
        </w:tc>
      </w:tr>
      <w:tr w:rsidR="002555F6" w14:paraId="0288EF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99D479" w14:textId="77777777" w:rsidR="002555F6" w:rsidRDefault="002555F6">
            <w:pPr>
              <w:spacing w:after="160"/>
            </w:pPr>
            <w:r>
              <w:t>CARB123</w:t>
            </w:r>
          </w:p>
        </w:tc>
        <w:tc>
          <w:tcPr>
            <w:tcW w:w="0" w:type="auto"/>
            <w:tcBorders>
              <w:top w:val="outset" w:sz="6" w:space="0" w:color="auto"/>
              <w:left w:val="outset" w:sz="6" w:space="0" w:color="auto"/>
              <w:bottom w:val="outset" w:sz="6" w:space="0" w:color="auto"/>
              <w:right w:val="outset" w:sz="6" w:space="0" w:color="auto"/>
            </w:tcBorders>
            <w:vAlign w:val="center"/>
            <w:hideMark/>
          </w:tcPr>
          <w:p w14:paraId="0178FD41" w14:textId="77777777" w:rsidR="002555F6" w:rsidRDefault="002555F6">
            <w:pPr>
              <w:spacing w:after="160"/>
            </w:pPr>
            <w:r>
              <w:t>Recurring delayed records with moderate on-time delivery performance.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9984B2E" w14:textId="77777777" w:rsidR="002555F6" w:rsidRDefault="002555F6">
            <w:pPr>
              <w:spacing w:after="160"/>
            </w:pPr>
            <w:r>
              <w:t xml:space="preserve">Implement supplier recovery plan, monitor lead time variance weekly, use targeted expedite shipping only for constrained </w:t>
            </w:r>
            <w:r>
              <w:lastRenderedPageBreak/>
              <w:t>production windows, and reassess reorder points.</w:t>
            </w:r>
          </w:p>
        </w:tc>
      </w:tr>
      <w:tr w:rsidR="002555F6" w14:paraId="7A675D6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62FF31" w14:textId="77777777" w:rsidR="002555F6" w:rsidRDefault="002555F6">
            <w:pPr>
              <w:spacing w:after="160"/>
            </w:pPr>
            <w:r>
              <w:lastRenderedPageBreak/>
              <w:t>BIND567</w:t>
            </w:r>
          </w:p>
        </w:tc>
        <w:tc>
          <w:tcPr>
            <w:tcW w:w="0" w:type="auto"/>
            <w:tcBorders>
              <w:top w:val="outset" w:sz="6" w:space="0" w:color="auto"/>
              <w:left w:val="outset" w:sz="6" w:space="0" w:color="auto"/>
              <w:bottom w:val="outset" w:sz="6" w:space="0" w:color="auto"/>
              <w:right w:val="outset" w:sz="6" w:space="0" w:color="auto"/>
            </w:tcBorders>
            <w:vAlign w:val="center"/>
            <w:hideMark/>
          </w:tcPr>
          <w:p w14:paraId="22E4D9DA" w14:textId="77777777" w:rsidR="002555F6" w:rsidRDefault="002555F6">
            <w:pPr>
              <w:spacing w:after="160"/>
            </w:pPr>
            <w:r>
              <w:t>Single delayed record but strong on-time delivery rate.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6473A" w14:textId="77777777" w:rsidR="002555F6" w:rsidRDefault="002555F6">
            <w:pPr>
              <w:spacing w:after="160"/>
            </w:pPr>
            <w:r>
              <w:t>Maintain routine monitoring, validate inventory coverage against production usage, and keep contingency options documented without immediate escalation.</w:t>
            </w:r>
          </w:p>
        </w:tc>
      </w:tr>
    </w:tbl>
    <w:p w14:paraId="6480422C" w14:textId="77777777" w:rsidR="002555F6" w:rsidRDefault="002555F6"/>
    <w:p w14:paraId="35E2E822" w14:textId="77777777" w:rsidR="006F3E76" w:rsidRDefault="006F3E76"/>
    <w:sectPr w:rsidR="006F3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D757A"/>
    <w:multiLevelType w:val="multilevel"/>
    <w:tmpl w:val="5BBC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574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D56"/>
    <w:rsid w:val="002555F6"/>
    <w:rsid w:val="006F3E76"/>
    <w:rsid w:val="00862BAB"/>
    <w:rsid w:val="00B87D56"/>
    <w:rsid w:val="00D44A56"/>
    <w:rsid w:val="00E06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99317"/>
  <w15:chartTrackingRefBased/>
  <w15:docId w15:val="{A9805D28-FB04-4EEA-A1AE-F0DD060F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7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7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D56"/>
    <w:rPr>
      <w:rFonts w:eastAsiaTheme="majorEastAsia" w:cstheme="majorBidi"/>
      <w:color w:val="272727" w:themeColor="text1" w:themeTint="D8"/>
    </w:rPr>
  </w:style>
  <w:style w:type="paragraph" w:styleId="Title">
    <w:name w:val="Title"/>
    <w:basedOn w:val="Normal"/>
    <w:next w:val="Normal"/>
    <w:link w:val="TitleChar"/>
    <w:uiPriority w:val="10"/>
    <w:qFormat/>
    <w:rsid w:val="00B87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D56"/>
    <w:pPr>
      <w:spacing w:before="160"/>
      <w:jc w:val="center"/>
    </w:pPr>
    <w:rPr>
      <w:i/>
      <w:iCs/>
      <w:color w:val="404040" w:themeColor="text1" w:themeTint="BF"/>
    </w:rPr>
  </w:style>
  <w:style w:type="character" w:customStyle="1" w:styleId="QuoteChar">
    <w:name w:val="Quote Char"/>
    <w:basedOn w:val="DefaultParagraphFont"/>
    <w:link w:val="Quote"/>
    <w:uiPriority w:val="29"/>
    <w:rsid w:val="00B87D56"/>
    <w:rPr>
      <w:i/>
      <w:iCs/>
      <w:color w:val="404040" w:themeColor="text1" w:themeTint="BF"/>
    </w:rPr>
  </w:style>
  <w:style w:type="paragraph" w:styleId="ListParagraph">
    <w:name w:val="List Paragraph"/>
    <w:basedOn w:val="Normal"/>
    <w:uiPriority w:val="34"/>
    <w:qFormat/>
    <w:rsid w:val="00B87D56"/>
    <w:pPr>
      <w:ind w:left="720"/>
      <w:contextualSpacing/>
    </w:pPr>
  </w:style>
  <w:style w:type="character" w:styleId="IntenseEmphasis">
    <w:name w:val="Intense Emphasis"/>
    <w:basedOn w:val="DefaultParagraphFont"/>
    <w:uiPriority w:val="21"/>
    <w:qFormat/>
    <w:rsid w:val="00B87D56"/>
    <w:rPr>
      <w:i/>
      <w:iCs/>
      <w:color w:val="0F4761" w:themeColor="accent1" w:themeShade="BF"/>
    </w:rPr>
  </w:style>
  <w:style w:type="paragraph" w:styleId="IntenseQuote">
    <w:name w:val="Intense Quote"/>
    <w:basedOn w:val="Normal"/>
    <w:next w:val="Normal"/>
    <w:link w:val="IntenseQuoteChar"/>
    <w:uiPriority w:val="30"/>
    <w:qFormat/>
    <w:rsid w:val="00B87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D56"/>
    <w:rPr>
      <w:i/>
      <w:iCs/>
      <w:color w:val="0F4761" w:themeColor="accent1" w:themeShade="BF"/>
    </w:rPr>
  </w:style>
  <w:style w:type="character" w:styleId="IntenseReference">
    <w:name w:val="Intense Reference"/>
    <w:basedOn w:val="DefaultParagraphFont"/>
    <w:uiPriority w:val="32"/>
    <w:qFormat/>
    <w:rsid w:val="00B87D56"/>
    <w:rPr>
      <w:b/>
      <w:bCs/>
      <w:smallCaps/>
      <w:color w:val="0F4761" w:themeColor="accent1" w:themeShade="BF"/>
      <w:spacing w:val="5"/>
    </w:rPr>
  </w:style>
  <w:style w:type="table" w:styleId="GridTable4-Accent1">
    <w:name w:val="Grid Table 4 Accent 1"/>
    <w:basedOn w:val="TableNormal"/>
    <w:uiPriority w:val="49"/>
    <w:rsid w:val="002555F6"/>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878</Words>
  <Characters>5949</Characters>
  <Application>Microsoft Office Word</Application>
  <DocSecurity>0</DocSecurity>
  <Lines>97</Lines>
  <Paragraphs>35</Paragraphs>
  <ScaleCrop>false</ScaleCrop>
  <Company>JNJ</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Alexandre [MEDBR]</dc:creator>
  <cp:keywords/>
  <dc:description/>
  <cp:lastModifiedBy>Franco, Alexandre [MEDBR]</cp:lastModifiedBy>
  <cp:revision>1</cp:revision>
  <dcterms:created xsi:type="dcterms:W3CDTF">2026-08-18T22:20:00Z</dcterms:created>
  <dcterms:modified xsi:type="dcterms:W3CDTF">2026-08-18T22:23:00Z</dcterms:modified>
</cp:coreProperties>
</file>