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before="35"/>
        <w:ind w:right="155"/>
        <w:rPr>
          <w:b/>
          <w:sz w:val="24"/>
          <w:szCs w:val="24"/>
          <w:u w:val="singl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52550" cy="638175"/>
                <wp:effectExtent l="0" t="0" r="0" b="0"/>
                <wp:docPr id="1" name="Imagem 1" descr="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Texto&#10;&#10;Descrição gerada automa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6.50pt;height:50.25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t xml:space="preserve">                                            </w:t>
      </w:r>
      <w:r>
        <w:rPr>
          <w:b/>
          <w:sz w:val="24"/>
          <w:szCs w:val="24"/>
          <w:u w:val="single"/>
        </w:rPr>
        <w:t xml:space="preserve">ANEXO I</w:t>
      </w:r>
      <w:r>
        <w:rPr>
          <w:b/>
          <w:sz w:val="24"/>
          <w:szCs w:val="24"/>
          <w:u w:val="single"/>
        </w:rPr>
        <w:t xml:space="preserve">II</w:t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spacing w:before="35"/>
        <w:ind w:right="155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REQUERIMENTO PARA AFASTAMENTO INTEGRAL</w:t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spacing w:before="35"/>
        <w:ind w:right="155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spacing w:before="35"/>
        <w:ind w:right="155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CURTA DURAÇÃO</w:t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spacing w:before="35"/>
        <w:ind w:right="15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</w:p>
    <w:p>
      <w:pPr>
        <w:pBdr/>
        <w:spacing w:after="40" w:before="40"/>
        <w:ind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Ao</w:t>
      </w:r>
      <w:r>
        <w:rPr>
          <w:b/>
          <w:bCs/>
          <w:sz w:val="26"/>
          <w:szCs w:val="26"/>
        </w:rPr>
        <w:t xml:space="preserve"> Diretor da Unidade/Departamento</w:t>
      </w:r>
      <w:r>
        <w:rPr>
          <w:b/>
          <w:bCs/>
          <w:sz w:val="26"/>
          <w:szCs w:val="26"/>
        </w:rPr>
        <w:t xml:space="preserve">/CODAI ou Chefe Imediato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tbl>
      <w:tblPr>
        <w:tblW w:w="9873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4"/>
        <w:gridCol w:w="1151"/>
        <w:gridCol w:w="1435"/>
        <w:gridCol w:w="3523"/>
      </w:tblGrid>
      <w:tr>
        <w:trPr>
          <w:cantSplit/>
          <w:jc w:val="center"/>
          <w:trHeight w:val="73"/>
        </w:trPr>
        <w:tc>
          <w:tcPr>
            <w:gridSpan w:val="3"/>
            <w:tcBorders/>
            <w:tcW w:w="6350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REQUERENTE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40" w:before="40"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{{requerente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3523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MATRÍCULA SIAPE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40" w:before="40"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{{</w:t>
            </w:r>
            <w:r>
              <w:rPr>
                <w:sz w:val="18"/>
                <w:szCs w:val="18"/>
              </w:rPr>
              <w:t xml:space="preserve">matricula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cantSplit/>
          <w:jc w:val="center"/>
          <w:trHeight w:val="73"/>
        </w:trPr>
        <w:tc>
          <w:tcPr>
            <w:tcBorders/>
            <w:tcW w:w="3764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CARGO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40" w:before="40"/>
              <w:ind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</w:t>
            </w:r>
            <w:r>
              <w:rPr>
                <w:sz w:val="20"/>
                <w:szCs w:val="20"/>
              </w:rPr>
              <w:t xml:space="preserve">cargo</w:t>
            </w:r>
            <w:r>
              <w:rPr>
                <w:sz w:val="20"/>
                <w:szCs w:val="20"/>
              </w:rPr>
              <w:t xml:space="preserve">}}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2"/>
            <w:tcBorders/>
            <w:tcW w:w="2586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CELULAR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40" w:before="40"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{{</w:t>
            </w:r>
            <w:r>
              <w:rPr>
                <w:sz w:val="18"/>
                <w:szCs w:val="18"/>
              </w:rPr>
              <w:t xml:space="preserve">celular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3523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E-MAIL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40" w:before="40"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{{</w:t>
            </w:r>
            <w:r>
              <w:rPr>
                <w:sz w:val="18"/>
                <w:szCs w:val="18"/>
              </w:rPr>
              <w:t xml:space="preserve">email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cantSplit/>
          <w:jc w:val="center"/>
          <w:trHeight w:val="73"/>
        </w:trPr>
        <w:tc>
          <w:tcPr>
            <w:gridSpan w:val="2"/>
            <w:tcBorders/>
            <w:tcW w:w="4915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LOTAÇÃO/EXERCÍCIO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40" w:before="40"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{{</w:t>
            </w:r>
            <w:r>
              <w:rPr>
                <w:sz w:val="18"/>
                <w:szCs w:val="18"/>
              </w:rPr>
              <w:t xml:space="preserve">exercicio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/>
            <w:tcW w:w="4958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REGIME DE TRABALHO ATUAL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40" w:before="40"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{{</w:t>
            </w:r>
            <w:r>
              <w:rPr>
                <w:sz w:val="18"/>
                <w:szCs w:val="18"/>
              </w:rPr>
              <w:t xml:space="preserve">regime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cantSplit/>
          <w:jc w:val="center"/>
          <w:trHeight w:val="3339"/>
        </w:trPr>
        <w:tc>
          <w:tcPr>
            <w:gridSpan w:val="4"/>
            <w:tcBorders>
              <w:left w:val="single" w:color="auto" w:sz="12" w:space="0"/>
              <w:bottom w:val="single" w:color="auto" w:sz="12" w:space="0"/>
            </w:tcBorders>
            <w:tcW w:w="9873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 w:right="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Requeiro de acordo com o artigo 102, da Lei nº 8.112, de 11/12/190, e a Resolução nº 053/2017-</w:t>
            </w:r>
            <w:r>
              <w:rPr>
                <w:sz w:val="22"/>
                <w:szCs w:val="22"/>
              </w:rPr>
              <w:t xml:space="preserve">CEPE</w:t>
            </w:r>
            <w:r>
              <w:rPr>
                <w:sz w:val="22"/>
                <w:szCs w:val="22"/>
              </w:rPr>
              <w:t xml:space="preserve">/UFRPE a concessão de AFASTAMENTO INTEGRAL das atividades exercidas, pelo período de </w:t>
            </w:r>
            <w:r>
              <w:rPr>
                <w:sz w:val="18"/>
                <w:szCs w:val="18"/>
              </w:rPr>
              <w:t xml:space="preserve">{{</w:t>
            </w:r>
            <w:r>
              <w:rPr>
                <w:sz w:val="22"/>
                <w:szCs w:val="22"/>
              </w:rPr>
              <w:t xml:space="preserve">dataInicio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z w:val="18"/>
                <w:szCs w:val="18"/>
              </w:rPr>
              <w:t xml:space="preserve">{{</w:t>
            </w:r>
            <w:r>
              <w:rPr>
                <w:sz w:val="22"/>
                <w:szCs w:val="22"/>
              </w:rPr>
              <w:t xml:space="preserve">dataFim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</w:t>
            </w:r>
            <w:r>
              <w:rPr>
                <w:sz w:val="18"/>
                <w:szCs w:val="18"/>
              </w:rPr>
              <w:t xml:space="preserve">{{</w:t>
            </w:r>
            <w:r>
              <w:rPr>
                <w:sz w:val="22"/>
                <w:szCs w:val="22"/>
              </w:rPr>
              <w:t xml:space="preserve">dias</w:t>
            </w:r>
            <w:r>
              <w:rPr>
                <w:sz w:val="18"/>
                <w:szCs w:val="18"/>
              </w:rPr>
              <w:t xml:space="preserve">}}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dias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  <w:t xml:space="preserve">, a contar da data da publicação da portaria.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60" w:before="60"/>
              <w:ind w:right="170" w:left="73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{{</w:t>
            </w:r>
            <w:r>
              <w:rPr>
                <w:sz w:val="22"/>
                <w:szCs w:val="22"/>
              </w:rPr>
              <w:t xml:space="preserve">checkbox_programa</w:t>
            </w:r>
            <w:r>
              <w:rPr>
                <w:sz w:val="22"/>
                <w:szCs w:val="22"/>
              </w:rPr>
              <w:t xml:space="preserve">}}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 -programa de intercâmbio acadêmicos, científico, cultural ou tecnológico, estágios, missões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60" w:before="60"/>
              <w:ind w:right="170" w:left="73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e visitas para o reconhecimento de instituições de importância acadêmica, cultural, técnica e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60" w:before="60"/>
              <w:ind w:right="170" w:left="73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científica;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60" w:before="60"/>
              <w:ind w:right="170" w:firstLine="567" w:left="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{{</w:t>
            </w:r>
            <w:r>
              <w:rPr>
                <w:sz w:val="22"/>
                <w:szCs w:val="22"/>
              </w:rPr>
              <w:t xml:space="preserve">checkbox_treinamento</w:t>
            </w:r>
            <w:r>
              <w:rPr>
                <w:sz w:val="22"/>
                <w:szCs w:val="22"/>
              </w:rPr>
              <w:t xml:space="preserve">}}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II -treinamento relacionado às atividades desempenhadas pelo servidor;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60" w:before="60"/>
              <w:ind w:right="170" w:firstLine="567" w:left="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{{</w:t>
            </w:r>
            <w:r>
              <w:rPr>
                <w:sz w:val="22"/>
                <w:szCs w:val="22"/>
              </w:rPr>
              <w:t xml:space="preserve">checkbox_congresso</w:t>
            </w:r>
            <w:r>
              <w:rPr>
                <w:sz w:val="22"/>
                <w:szCs w:val="22"/>
              </w:rPr>
              <w:t xml:space="preserve">}}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III -congressos, seminários, simpósios, jornadas, encontros e eventos correlatos   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60" w:before="60"/>
              <w:ind w:right="170" w:left="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Declaro ainda, sob as penas da lei, que as informações prestadas são verdadeiras e comprometo-me a atualizar junto à </w:t>
            </w:r>
            <w:r>
              <w:rPr>
                <w:sz w:val="22"/>
                <w:szCs w:val="22"/>
              </w:rPr>
              <w:t xml:space="preserve">PROGEPE</w:t>
            </w:r>
            <w:r>
              <w:rPr>
                <w:sz w:val="22"/>
                <w:szCs w:val="22"/>
              </w:rPr>
              <w:t xml:space="preserve"> qualquer alteração das informações aqui registradas.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tbl>
            <w:tblPr>
              <w:tblStyle w:val="692"/>
              <w:tblW w:w="0" w:type="auto"/>
              <w:tblBorders/>
              <w:tblLook w:val="0640" w:firstRow="0" w:lastRow="1" w:firstColumn="0" w:lastColumn="0" w:noHBand="1" w:noVBand="1"/>
            </w:tblPr>
            <w:tblGrid>
              <w:gridCol w:w="4866"/>
              <w:gridCol w:w="4866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66" w:type="dxa"/>
                  <w:textDirection w:val="lrTb"/>
                  <w:noWrap w:val="false"/>
                </w:tcPr>
                <w:p>
                  <w:pPr>
                    <w:pBdr/>
                    <w:shd w:val="clear" w:color="auto" w:fill="auto"/>
                    <w:spacing w:after="60" w:before="60"/>
                    <w:ind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  <w:t xml:space="preserve">{{</w:t>
                  </w:r>
                  <w:r>
                    <w:rPr>
                      <w:sz w:val="22"/>
                      <w:szCs w:val="22"/>
                    </w:rPr>
                    <w:t xml:space="preserve">cidade</w:t>
                  </w:r>
                  <w:r>
                    <w:rPr>
                      <w:sz w:val="22"/>
                      <w:szCs w:val="22"/>
                    </w:rPr>
                    <w:t xml:space="preserve">}}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 xml:space="preserve">{{</w:t>
                  </w:r>
                  <w:r>
                    <w:rPr>
                      <w:sz w:val="22"/>
                      <w:szCs w:val="22"/>
                    </w:rPr>
                    <w:t xml:space="preserve">data_atual</w:t>
                  </w:r>
                  <w:r>
                    <w:rPr>
                      <w:sz w:val="22"/>
                      <w:szCs w:val="22"/>
                    </w:rPr>
                    <w:t xml:space="preserve">}}</w:t>
                  </w: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66" w:type="dxa"/>
                  <w:textDirection w:val="lrTb"/>
                  <w:noWrap w:val="false"/>
                </w:tcPr>
                <w:p>
                  <w:pPr>
                    <w:pBdr/>
                    <w:shd w:val="clear" w:color="auto" w:fill="auto"/>
                    <w:spacing w:after="60" w:before="60"/>
                    <w:ind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  <w:t xml:space="preserve">___________</w:t>
                  </w:r>
                  <w:r>
                    <w:rPr>
                      <w:sz w:val="22"/>
                      <w:szCs w:val="22"/>
                    </w:rPr>
                    <w:t xml:space="preserve">_______________</w:t>
                  </w:r>
                  <w:r>
                    <w:rPr>
                      <w:sz w:val="22"/>
                      <w:szCs w:val="22"/>
                    </w:rPr>
                    <w:t xml:space="preserve">____________</w:t>
                  </w: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66" w:type="dxa"/>
                  <w:textDirection w:val="lrTb"/>
                  <w:noWrap w:val="false"/>
                </w:tcPr>
                <w:p>
                  <w:pPr>
                    <w:pBdr/>
                    <w:shd w:val="clear" w:color="auto" w:fill="auto"/>
                    <w:spacing w:after="60" w:before="60"/>
                    <w:ind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  <w:t xml:space="preserve">Local e Data</w:t>
                  </w: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866" w:type="dxa"/>
                  <w:textDirection w:val="lrTb"/>
                  <w:noWrap w:val="false"/>
                </w:tcPr>
                <w:p>
                  <w:pPr>
                    <w:pBdr/>
                    <w:shd w:val="clear" w:color="auto" w:fill="auto"/>
                    <w:spacing w:after="60" w:before="60"/>
                    <w:ind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  <w:t xml:space="preserve">Assinatura do requerente</w:t>
                  </w: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Bdr/>
              <w:spacing w:after="60" w:before="60" w:line="36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  <w:jc w:val="center"/>
          <w:trHeight w:val="395"/>
        </w:trPr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tcW w:w="987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DOCUMENTAÇÃO NECESSÁRIA: </w: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</w:r>
          </w:p>
          <w:p>
            <w:pPr>
              <w:pBdr/>
              <w:spacing w:line="360" w:lineRule="auto"/>
              <w:ind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   Item I:</w:t>
            </w:r>
            <w:r>
              <w:rPr>
                <w:b/>
                <w:sz w:val="19"/>
                <w:szCs w:val="19"/>
              </w:rPr>
            </w:r>
            <w:r>
              <w:rPr>
                <w:b/>
                <w:sz w:val="19"/>
                <w:szCs w:val="19"/>
              </w:rPr>
            </w:r>
          </w:p>
          <w:p>
            <w:pPr>
              <w:pStyle w:val="842"/>
              <w:numPr>
                <w:ilvl w:val="0"/>
                <w:numId w:val="1"/>
              </w:numPr>
              <w:pBdr/>
              <w:spacing/>
              <w:ind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Declaração de remanejamento das atividades com o compromisso formal, assinado e datado, do(s) responsável(eis) pela substituição funcional do servidor, no período do seu afastamento;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pStyle w:val="842"/>
              <w:numPr>
                <w:ilvl w:val="0"/>
                <w:numId w:val="1"/>
              </w:numPr>
              <w:pBdr/>
              <w:spacing/>
              <w:ind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Documento de aceite da instituição onde será realizado intercambio, estágio ou missão;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Plano de atividades a ser desenvolvido;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pBdr/>
              <w:spacing/>
              <w:ind w:left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pBdr/>
              <w:spacing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>
              <w:rPr>
                <w:b/>
                <w:sz w:val="19"/>
                <w:szCs w:val="19"/>
              </w:rPr>
              <w:t xml:space="preserve">Item II e III:</w:t>
            </w:r>
            <w:r>
              <w:rPr>
                <w:b/>
                <w:sz w:val="19"/>
                <w:szCs w:val="19"/>
              </w:rPr>
            </w:r>
            <w:r>
              <w:rPr>
                <w:b/>
                <w:sz w:val="19"/>
                <w:szCs w:val="19"/>
              </w:rPr>
            </w:r>
          </w:p>
          <w:p>
            <w:pPr>
              <w:pBdr/>
              <w:spacing/>
              <w:ind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</w:r>
            <w:r>
              <w:rPr>
                <w:b/>
                <w:sz w:val="19"/>
                <w:szCs w:val="19"/>
              </w:rPr>
            </w:r>
            <w:r>
              <w:rPr>
                <w:b/>
                <w:sz w:val="19"/>
                <w:szCs w:val="19"/>
              </w:rPr>
            </w:r>
          </w:p>
          <w:p>
            <w:pPr>
              <w:widowControl w:val="false"/>
              <w:numPr>
                <w:ilvl w:val="0"/>
                <w:numId w:val="3"/>
              </w:numPr>
              <w:pBdr/>
              <w:spacing/>
              <w:ind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Declaração de remanejamento das atividades com o compromisso formal, assinado e datado, do(s) responsável(eis) pela substituição funcional do servidor, no período do seu afastamento; 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widowControl w:val="false"/>
              <w:numPr>
                <w:ilvl w:val="0"/>
                <w:numId w:val="3"/>
              </w:numPr>
              <w:pBdr/>
              <w:spacing/>
              <w:ind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Programação do evento;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widowControl w:val="false"/>
              <w:numPr>
                <w:ilvl w:val="0"/>
                <w:numId w:val="3"/>
              </w:numPr>
              <w:pBdr/>
              <w:spacing/>
              <w:ind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Documentação comprobatória da inscrição;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pBdr/>
              <w:spacing/>
              <w:ind w:left="720"/>
              <w:rPr/>
            </w:pPr>
            <w:r>
              <w:rPr>
                <w:sz w:val="19"/>
                <w:szCs w:val="19"/>
              </w:rPr>
              <w:t xml:space="preserve">No caso de apresentação de trabalho técnico-científico, apresentar documentação de aceite emitido pelos organizadores do evento.</w:t>
            </w:r>
            <w:r/>
          </w:p>
        </w:tc>
      </w:tr>
    </w:tbl>
    <w:p>
      <w:pPr>
        <w:pBdr/>
        <w:spacing w:line="276" w:lineRule="auto"/>
        <w:ind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</w:t>
      </w: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line="276" w:lineRule="auto"/>
        <w:ind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legal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numPr>
          <w:ilvl w:val="0"/>
          <w:numId w:val="2"/>
        </w:numPr>
        <w:pBdr/>
        <w:spacing w:line="276" w:lineRule="auto"/>
        <w:ind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Lei nº12.772/12, alterada pela Lei nº12863/13, art.22.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numPr>
          <w:ilvl w:val="0"/>
          <w:numId w:val="2"/>
        </w:numPr>
        <w:pBdr/>
        <w:spacing w:line="276" w:lineRule="auto"/>
        <w:ind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Lei nº11.091/2012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numPr>
          <w:ilvl w:val="0"/>
          <w:numId w:val="2"/>
        </w:numPr>
        <w:pBdr/>
        <w:spacing w:line="276" w:lineRule="auto"/>
        <w:ind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Nota Técnica SEI n. 6197/2015-MP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numPr>
          <w:ilvl w:val="0"/>
          <w:numId w:val="2"/>
        </w:numPr>
        <w:pBdr/>
        <w:spacing w:line="276" w:lineRule="auto"/>
        <w:ind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Resolução nº 053/2017 – CEPE/UFRPE</w:t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sectPr>
      <w:footnotePr/>
      <w:endnotePr/>
      <w:type w:val="nextPage"/>
      <w:pgSz w:h="16840" w:orient="landscape" w:w="11907"/>
      <w:pgMar w:top="1134" w:right="1134" w:bottom="964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65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85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05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25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45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65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85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05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25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none" w:formatting="1" w:enforcement="0" w:cryptProviderType="rsaAES"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8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8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8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8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8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8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7 Char"/>
    <w:basedOn w:val="838"/>
    <w:link w:val="83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6"/>
    <w:next w:val="836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basedOn w:val="838"/>
    <w:link w:val="6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6"/>
    <w:next w:val="836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basedOn w:val="838"/>
    <w:link w:val="6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7">
    <w:name w:val="List Paragraph"/>
    <w:basedOn w:val="836"/>
    <w:uiPriority w:val="34"/>
    <w:qFormat/>
    <w:pPr>
      <w:pBdr/>
      <w:spacing/>
      <w:ind w:left="720"/>
      <w:contextualSpacing w:val="true"/>
    </w:p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basedOn w:val="838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basedOn w:val="838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basedOn w:val="838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basedOn w:val="838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pt-BR"/>
      <w14:ligatures w14:val="none"/>
    </w:rPr>
  </w:style>
  <w:style w:type="paragraph" w:styleId="837">
    <w:name w:val="Heading 7"/>
    <w:basedOn w:val="836"/>
    <w:next w:val="836"/>
    <w:link w:val="841"/>
    <w:uiPriority w:val="99"/>
    <w:qFormat/>
    <w:pPr>
      <w:keepNext w:val="true"/>
      <w:pBdr/>
      <w:spacing/>
      <w:ind/>
      <w:jc w:val="right"/>
      <w:outlineLvl w:val="6"/>
    </w:pPr>
    <w:rPr>
      <w:sz w:val="24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character" w:styleId="841" w:customStyle="1">
    <w:name w:val="Título 7 Char"/>
    <w:basedOn w:val="838"/>
    <w:link w:val="837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eastAsia="pt-BR"/>
      <w14:ligatures w14:val="none"/>
    </w:rPr>
  </w:style>
  <w:style w:type="paragraph" w:styleId="842">
    <w:name w:val="No Spacing"/>
    <w:uiPriority w:val="1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pt-BR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2BB9F-F516-48A6-A10F-A30A5FD9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8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Alecrim</dc:creator>
  <cp:keywords/>
  <dc:description/>
  <cp:revision>9</cp:revision>
  <dcterms:created xsi:type="dcterms:W3CDTF">2023-10-09T18:14:00Z</dcterms:created>
  <dcterms:modified xsi:type="dcterms:W3CDTF">2023-12-31T00:12:43Z</dcterms:modified>
</cp:coreProperties>
</file>