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0608" w14:textId="2BA53D99" w:rsidR="00FD4D7E" w:rsidRPr="00DF3DC8" w:rsidRDefault="00FD4D7E" w:rsidP="00FD4D7E">
      <w:pPr>
        <w:spacing w:line="480" w:lineRule="auto"/>
        <w:jc w:val="center"/>
        <w:rPr>
          <w:rFonts w:ascii="Book Antiqua" w:hAnsi="Book Antiqua" w:cs="Times New Roman"/>
          <w:b/>
          <w:bCs/>
        </w:rPr>
      </w:pPr>
      <w:r w:rsidRPr="00836AEF">
        <w:rPr>
          <w:rFonts w:ascii="Book Antiqua" w:hAnsi="Book Antiqua" w:cs="Times New Roman"/>
          <w:b/>
          <w:bCs/>
        </w:rPr>
        <w:t xml:space="preserve">Claw coloration in the fiddler crab </w:t>
      </w:r>
      <w:proofErr w:type="spellStart"/>
      <w:r w:rsidRPr="00836AEF">
        <w:rPr>
          <w:rFonts w:ascii="Book Antiqua" w:hAnsi="Book Antiqua" w:cs="Times New Roman"/>
          <w:b/>
          <w:bCs/>
          <w:i/>
          <w:iCs/>
        </w:rPr>
        <w:t>Leptuca</w:t>
      </w:r>
      <w:proofErr w:type="spellEnd"/>
      <w:r w:rsidRPr="00836AEF">
        <w:rPr>
          <w:rFonts w:ascii="Book Antiqua" w:hAnsi="Book Antiqua" w:cs="Times New Roman"/>
          <w:b/>
          <w:bCs/>
          <w:i/>
          <w:iCs/>
        </w:rPr>
        <w:t xml:space="preserve"> </w:t>
      </w:r>
      <w:proofErr w:type="spellStart"/>
      <w:r w:rsidRPr="00836AEF">
        <w:rPr>
          <w:rFonts w:ascii="Book Antiqua" w:hAnsi="Book Antiqua" w:cs="Times New Roman"/>
          <w:b/>
          <w:bCs/>
          <w:i/>
          <w:iCs/>
        </w:rPr>
        <w:t>uruguayensis</w:t>
      </w:r>
      <w:proofErr w:type="spellEnd"/>
      <w:r w:rsidRPr="00836AEF">
        <w:rPr>
          <w:rFonts w:ascii="Book Antiqua" w:hAnsi="Book Antiqua" w:cs="Times New Roman"/>
          <w:b/>
          <w:bCs/>
        </w:rPr>
        <w:t xml:space="preserve"> has no </w:t>
      </w:r>
      <w:r>
        <w:rPr>
          <w:rFonts w:ascii="Book Antiqua" w:hAnsi="Book Antiqua" w:cs="Times New Roman"/>
          <w:b/>
          <w:bCs/>
        </w:rPr>
        <w:t>cor</w:t>
      </w:r>
      <w:r w:rsidRPr="00836AEF">
        <w:rPr>
          <w:rFonts w:ascii="Book Antiqua" w:hAnsi="Book Antiqua" w:cs="Times New Roman"/>
          <w:b/>
          <w:bCs/>
        </w:rPr>
        <w:t xml:space="preserve">relation with male </w:t>
      </w:r>
      <w:proofErr w:type="gramStart"/>
      <w:r w:rsidRPr="00836AEF">
        <w:rPr>
          <w:rFonts w:ascii="Book Antiqua" w:hAnsi="Book Antiqua" w:cs="Times New Roman"/>
          <w:b/>
          <w:bCs/>
        </w:rPr>
        <w:t>quality</w:t>
      </w:r>
      <w:proofErr w:type="gramEnd"/>
      <w:r w:rsidRPr="00836AEF">
        <w:rPr>
          <w:rFonts w:ascii="Book Antiqua" w:hAnsi="Book Antiqua" w:cs="Times New Roman"/>
          <w:b/>
          <w:bCs/>
        </w:rPr>
        <w:t xml:space="preserve"> </w:t>
      </w:r>
    </w:p>
    <w:p w14:paraId="51BA5292" w14:textId="77777777" w:rsidR="00FD4D7E" w:rsidRPr="00DF3DC8" w:rsidRDefault="00FD4D7E" w:rsidP="00FD4D7E">
      <w:pPr>
        <w:spacing w:line="480" w:lineRule="auto"/>
        <w:rPr>
          <w:rFonts w:ascii="Book Antiqua" w:hAnsi="Book Antiqua" w:cs="Times New Roman"/>
        </w:rPr>
      </w:pPr>
    </w:p>
    <w:p w14:paraId="73FE99EE" w14:textId="77777777" w:rsidR="00FD4D7E" w:rsidRPr="00DF3DC8" w:rsidRDefault="00FD4D7E" w:rsidP="00FD4D7E">
      <w:pPr>
        <w:spacing w:line="480" w:lineRule="auto"/>
        <w:jc w:val="center"/>
        <w:rPr>
          <w:rFonts w:ascii="Book Antiqua" w:hAnsi="Book Antiqua" w:cs="Times New Roman"/>
          <w:i/>
          <w:iCs/>
          <w:lang w:val="pt-BR"/>
        </w:rPr>
      </w:pPr>
      <w:r w:rsidRPr="00DF3DC8">
        <w:rPr>
          <w:rFonts w:ascii="Book Antiqua" w:hAnsi="Book Antiqua" w:cs="Times New Roman"/>
          <w:lang w:val="pt-BR"/>
        </w:rPr>
        <w:t>Zackary A. Graham</w:t>
      </w:r>
      <w:r w:rsidRPr="00DF3DC8">
        <w:rPr>
          <w:rFonts w:ascii="Book Antiqua" w:hAnsi="Book Antiqua" w:cs="Times New Roman"/>
          <w:vertAlign w:val="superscript"/>
          <w:lang w:val="pt-BR"/>
        </w:rPr>
        <w:t>1,*</w:t>
      </w:r>
      <w:r w:rsidRPr="00DF3DC8">
        <w:rPr>
          <w:rFonts w:ascii="Book Antiqua" w:hAnsi="Book Antiqua" w:cs="Times New Roman"/>
          <w:lang w:val="pt-BR"/>
        </w:rPr>
        <w:t>, Jônatas de Jesus Florentino</w:t>
      </w:r>
      <w:r w:rsidRPr="00DF3DC8">
        <w:rPr>
          <w:rFonts w:ascii="Book Antiqua" w:hAnsi="Book Antiqua" w:cs="Times New Roman"/>
          <w:vertAlign w:val="superscript"/>
          <w:lang w:val="pt-BR"/>
        </w:rPr>
        <w:t>2,*</w:t>
      </w:r>
      <w:r w:rsidRPr="00DF3DC8">
        <w:rPr>
          <w:rFonts w:ascii="Book Antiqua" w:hAnsi="Book Antiqua" w:cs="Times New Roman"/>
          <w:lang w:val="pt-BR"/>
        </w:rPr>
        <w:t>, Samuel P. Smithers</w:t>
      </w:r>
      <w:r w:rsidRPr="00DF3DC8">
        <w:rPr>
          <w:rFonts w:ascii="Book Antiqua" w:hAnsi="Book Antiqua" w:cs="Times New Roman"/>
          <w:vertAlign w:val="superscript"/>
          <w:lang w:val="pt-BR"/>
        </w:rPr>
        <w:t>3</w:t>
      </w:r>
      <w:r w:rsidRPr="00DF3DC8">
        <w:rPr>
          <w:rFonts w:ascii="Book Antiqua" w:hAnsi="Book Antiqua" w:cs="Times New Roman"/>
          <w:lang w:val="pt-BR"/>
        </w:rPr>
        <w:t xml:space="preserve">, João </w:t>
      </w:r>
      <w:r>
        <w:rPr>
          <w:rFonts w:ascii="Book Antiqua" w:hAnsi="Book Antiqua" w:cs="Times New Roman"/>
          <w:lang w:val="pt-BR"/>
        </w:rPr>
        <w:t xml:space="preserve">C. T. </w:t>
      </w:r>
      <w:r w:rsidRPr="00DF3DC8">
        <w:rPr>
          <w:rFonts w:ascii="Book Antiqua" w:hAnsi="Book Antiqua" w:cs="Times New Roman"/>
          <w:lang w:val="pt-BR"/>
        </w:rPr>
        <w:t>Menezes</w:t>
      </w:r>
      <w:r w:rsidRPr="00DF3DC8">
        <w:rPr>
          <w:rFonts w:ascii="Book Antiqua" w:hAnsi="Book Antiqua" w:cs="Times New Roman"/>
          <w:vertAlign w:val="superscript"/>
          <w:lang w:val="pt-BR"/>
        </w:rPr>
        <w:t>2,4</w:t>
      </w:r>
      <w:r w:rsidRPr="00DF3DC8">
        <w:rPr>
          <w:rFonts w:ascii="Book Antiqua" w:hAnsi="Book Antiqua" w:cs="Times New Roman"/>
          <w:lang w:val="pt-BR"/>
        </w:rPr>
        <w:t>, José Eduardo de Carvalho</w:t>
      </w:r>
      <w:r w:rsidRPr="00DF3DC8">
        <w:rPr>
          <w:rFonts w:ascii="Book Antiqua" w:hAnsi="Book Antiqua" w:cs="Times New Roman"/>
          <w:vertAlign w:val="superscript"/>
          <w:lang w:val="pt-BR"/>
        </w:rPr>
        <w:t>5</w:t>
      </w:r>
      <w:r w:rsidRPr="00DF3DC8">
        <w:rPr>
          <w:rFonts w:ascii="Book Antiqua" w:hAnsi="Book Antiqua" w:cs="Times New Roman"/>
          <w:lang w:val="pt-BR"/>
        </w:rPr>
        <w:t>, Alexandre V. Palaoro</w:t>
      </w:r>
      <w:r w:rsidRPr="00DF3DC8">
        <w:rPr>
          <w:rFonts w:ascii="Book Antiqua" w:hAnsi="Book Antiqua" w:cs="Times New Roman"/>
          <w:vertAlign w:val="superscript"/>
          <w:lang w:val="pt-BR"/>
        </w:rPr>
        <w:t>2,5,6,7</w:t>
      </w:r>
      <w:r>
        <w:rPr>
          <w:rFonts w:ascii="Book Antiqua" w:hAnsi="Book Antiqua" w:cs="Times New Roman"/>
          <w:vertAlign w:val="superscript"/>
          <w:lang w:val="pt-BR"/>
        </w:rPr>
        <w:t>,†</w:t>
      </w:r>
    </w:p>
    <w:p w14:paraId="6DE1FBE8" w14:textId="77777777" w:rsidR="00FD4D7E" w:rsidRPr="00FD4D7E" w:rsidRDefault="00FD4D7E" w:rsidP="00FD4D7E">
      <w:pPr>
        <w:spacing w:line="480" w:lineRule="auto"/>
        <w:rPr>
          <w:rFonts w:ascii="Book Antiqua" w:hAnsi="Book Antiqua" w:cs="Times New Roman"/>
          <w:b/>
          <w:bCs/>
          <w:lang w:val="pt-BR"/>
        </w:rPr>
      </w:pPr>
    </w:p>
    <w:p w14:paraId="7299C173" w14:textId="77777777" w:rsidR="00FD4D7E" w:rsidRPr="00FD4D7E" w:rsidRDefault="00FD4D7E" w:rsidP="00FD4D7E">
      <w:pPr>
        <w:spacing w:line="480" w:lineRule="auto"/>
        <w:rPr>
          <w:rFonts w:ascii="Book Antiqua" w:hAnsi="Book Antiqua" w:cs="Times New Roman"/>
          <w:b/>
          <w:bCs/>
          <w:lang w:val="pt-BR"/>
        </w:rPr>
      </w:pPr>
    </w:p>
    <w:p w14:paraId="73DBED42" w14:textId="2429AD16" w:rsidR="00FD4D7E" w:rsidRPr="00FD4D7E" w:rsidRDefault="00FD4D7E" w:rsidP="00FD4D7E">
      <w:pPr>
        <w:spacing w:line="480" w:lineRule="auto"/>
        <w:rPr>
          <w:rFonts w:ascii="Book Antiqua" w:hAnsi="Book Antiqua" w:cs="Times New Roman"/>
          <w:b/>
          <w:bCs/>
        </w:rPr>
      </w:pPr>
      <w:r w:rsidRPr="00FD4D7E">
        <w:rPr>
          <w:rFonts w:ascii="Book Antiqua" w:hAnsi="Book Antiqua" w:cs="Times New Roman"/>
          <w:b/>
          <w:bCs/>
        </w:rPr>
        <w:t>Protocol to measure lipid content</w:t>
      </w:r>
    </w:p>
    <w:p w14:paraId="52A0AEC7" w14:textId="71020BF0" w:rsidR="00FD4D7E" w:rsidRPr="00DF3DC8" w:rsidRDefault="00FD4D7E" w:rsidP="00FD4D7E">
      <w:pPr>
        <w:spacing w:line="480" w:lineRule="auto"/>
        <w:rPr>
          <w:rFonts w:ascii="Book Antiqua" w:hAnsi="Book Antiqua" w:cs="Times New Roman"/>
        </w:rPr>
      </w:pPr>
      <w:r>
        <w:rPr>
          <w:rFonts w:ascii="Book Antiqua" w:hAnsi="Book Antiqua" w:cs="Times New Roman"/>
        </w:rPr>
        <w:t>W</w:t>
      </w:r>
      <w:r w:rsidRPr="00DF3DC8">
        <w:rPr>
          <w:rFonts w:ascii="Book Antiqua" w:hAnsi="Book Antiqua" w:cs="Times New Roman"/>
        </w:rPr>
        <w:t xml:space="preserve">e measured the body condition of each crab based on measurements of total amount of lipids stored within an individual (Koop et al. 2011). Across animals, lipid content is used as an index of body condition and individual quality due to its correlation to food quality </w:t>
      </w:r>
      <w:r w:rsidRPr="00DF3DC8">
        <w:rPr>
          <w:rFonts w:ascii="Book Antiqua" w:hAnsi="Book Antiqua" w:cs="Times New Roman"/>
        </w:rPr>
        <w:fldChar w:fldCharType="begin" w:fldLock="1"/>
      </w:r>
      <w:r>
        <w:rPr>
          <w:rFonts w:ascii="Book Antiqua" w:hAnsi="Book Antiqua" w:cs="Times New Roman"/>
        </w:rPr>
        <w:instrText>ADDIN CSL_CITATION {"citationItems":[{"id":"ITEM-1","itemData":{"DOI":"10.1111/j.0022-1112.2004.00381.x","ISSN":"00221112","abstract":"Intensely displaying sand goby Pomatoschistus minutus males had lower lipid content, indicating that signalling increased energy expenditure, or that low condition males increased their signalling effort. Display intensity correlated positively with nest-defence and tended to correlate positively with filial cannibalism. © 2004 The Fisheries Society of the British Isles.","author":[{"dropping-particle":"","family":"Svensson","given":"O.","non-dropping-particle":"","parse-names":false,"suffix":""},{"dropping-particle":"","family":"Nyman","given":"A.","non-dropping-particle":"","parse-names":false,"suffix":""},{"dropping-particle":"","family":"Kvarnemo","given":"C.","non-dropping-particle":"","parse-names":false,"suffix":""}],"container-title":"Journal of Fish Biology","id":"ITEM-1","issue":"5","issued":{"date-parts":[["2004"]]},"page":"1425-1429","title":"Costly courtship or dishonest display? Intensely displaying sand goby males have lower lipid content","type":"article-journal","volume":"64"},"uris":["http://www.mendeley.com/documents/?uuid=7bafcaf4-cbae-4899-9839-cfc40ff03687"]},{"id":"ITEM-2","itemData":{"DOI":"10.1111/j.1748-7692.1999.tb00882.x","ISSN":"08240469","abstract":"The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organ.","author":[{"dropping-particle":"","family":"Cranford","given":"Ted W.","non-dropping-particle":"","parse-names":false,"suffix":""}],"container-title":"Marine Mammal Science","id":"ITEM-2","issue":"4","issued":{"date-parts":[["1999"]]},"page":"1133-1157","title":"The sperm whale's nose: Sexual selection on a grand scale?","type":"article-journal","volume":"15"},"uris":["http://www.mendeley.com/documents/?uuid=4c79b800-8e72-49d7-a6ca-cf7a9c10c0fd"]},{"id":"ITEM-3","itemData":{"DOI":"10.1002/ece3.956","ISSN":"20457758","abstract":"Body condition is a key indicator of individual and population health. Yet, there is little consensus as to the most appropriate condition index (CI), and most of the currently used CIs have not been thoroughly validated and are logistically challenging. Adipose samples from large datasets of capture biopsied, remote biopsied, and harvested polar bears were used to validate adipose lipid content as a CI via tests of accuracy, precision, sensitivity, biopsy depth, and storage conditions and comparisons to established CIs, to measures of health and to demographic and ecological parameters. The lipid content analyses of even very small biopsy samples were highly accurate and precise, but results were influenced by tissue depth at which the sample was taken. Lipid content of capture biopsies and samples from harvested adult females was correlated with established CIs and/or conformed to expected biological variation and ecological changes. However, lipid content of remote biopsies was lower than capture biopsies and harvested samples, possibly due to lipid loss during dart retrieval. Lipid content CI is a biologically relevant, relatively inexpensive and rapidly assessed CI and can be determined routinely for individuals and populations in order to infer large-scale spatial and long-term temporal trends. As it is possible to collect samples during routine harvesting or remotely using biopsy darts, monitoring and assessment of body condition can be accomplished without capture and handling procedures or noninvasively, which are methods that are preferred by local communities. However, further work is needed to apply the method to remote biopsies. © 2014 The Authors. Ecology and Evolution published by John Wiley &amp; Sons Ltd.","author":[{"dropping-particle":"","family":"Mckinney","given":"Melissa A.","non-dropping-particle":"","parse-names":false,"suffix":""},{"dropping-particle":"","family":"Atwood","given":"Todd","non-dropping-particle":"","parse-names":false,"suffix":""},{"dropping-particle":"","family":"Dietz","given":"Rune","non-dropping-particle":"","parse-names":false,"suffix":""},{"dropping-particle":"","family":"Sonne","given":"Christian","non-dropping-particle":"","parse-names":false,"suffix":""},{"dropping-particle":"","family":"Iverson","given":"Sara J.","non-dropping-particle":"","parse-names":false,"suffix":""},{"dropping-particle":"","family":"Peacock","given":"Elizabeth","non-dropping-particle":"","parse-names":false,"suffix":""}],"container-title":"Ecology and Evolution","id":"ITEM-3","issue":"4","issued":{"date-parts":[["2014"]]},"page":"516-527","title":"Validation of adipose lipid content as a body condition index for polar bears","type":"article-journal","volume":"4"},"uris":["http://www.mendeley.com/documents/?uuid=1843499e-54ee-4554-9a57-805f547505f8"]},{"id":"ITEM-4","itemData":{"DOI":"10.1098/rspb.2020.2307","ISSN":"14712954","PMID":"33499785","abstract":"Monitoring the body condition of free-ranging marine mammals at different life-history stages is essential to understand their ecology as they must accumulate sufficient energy reserves for survival and reproduction. However, assessing body condition in free-ranging marine mammals is challenging. We cross-validated two independent approaches to estimate the body condition of humpback whales (Megaptera novaeangliae) at two feeding grounds in Canada and Norway: animal-borne tags (n = 59) and aerial photogrammetry (n = 55). Whales that had a large length-standardized projected area in overhead images (i.e. whales looked fatter) had lower estimated tissue body density (TBD) (greater lipid stores) from tag data. Linking both measurements in a Bayesian hierarchical model to estimate the true underlying (hidden) tissue body density (uTBD), we found uTBD was lower (-3.5 kg m -3) in pregnant females compared to adult males and resting females, while in lactating females it was higher (+6.0 kg m -3). Whales were more negatively buoyant (+5.0 kg m -3) in Norway than Canada during the early feeding season, possibly owing to a longer migration from breeding areas. While uTBD decreased over the feeding season across life-history traits, whale tissues remained negatively buoyant (1035.3 ± 3.8 kg m -3) in the late feeding season. This study adds confidence to the effectiveness of these independent methods to estimate the body condition of free-ranging whales.","author":[{"dropping-particle":"","family":"Aoki","given":"Kagari","non-dropping-particle":"","parse-names":false,"suffix":""},{"dropping-particle":"","family":"Isojunno","given":"Saana","non-dropping-particle":"","parse-names":false,"suffix":""},{"dropping-particle":"","family":"Bellot","given":"Charlotte","non-dropping-particle":"","parse-names":false,"suffix":""},{"dropping-particle":"","family":"Iwata","given":"Takashi","non-dropping-particle":"","parse-names":false,"suffix":""},{"dropping-particle":"","family":"Kershaw","given":"Joanna","non-dropping-particle":"","parse-names":false,"suffix":""},{"dropping-particle":"","family":"Akiyama","given":"Yu","non-dropping-particle":"","parse-names":false,"suffix":""},{"dropping-particle":"","family":"Martín López","given":"Lucía M.","non-dropping-particle":"","parse-names":false,"suffix":""},{"dropping-particle":"","family":"Ramp","given":"Christian","non-dropping-particle":"","parse-names":false,"suffix":""},{"dropping-particle":"","family":"Biuw","given":"Martin","non-dropping-particle":"","parse-names":false,"suffix":""},{"dropping-particle":"","family":"Swift","given":"René","non-dropping-particle":"","parse-names":false,"suffix":""},{"dropping-particle":"","family":"Wensveen","given":"Paul J.","non-dropping-particle":"","parse-names":false,"suffix":""},{"dropping-particle":"","family":"Pomeroy","given":"Patrick","non-dropping-particle":"","parse-names":false,"suffix":""},{"dropping-particle":"","family":"Narazaki","given":"Tomoko","non-dropping-particle":"","parse-names":false,"suffix":""},{"dropping-particle":"","family":"Hall","given":"Ailsa","non-dropping-particle":"","parse-names":false,"suffix":""},{"dropping-particle":"","family":"Sato","given":"Katsufumi","non-dropping-particle":"","parse-names":false,"suffix":""},{"dropping-particle":"","family":"Miller","given":"Patrick J.O.","non-dropping-particle":"","parse-names":false,"suffix":""}],"container-title":"Proceedings of the Royal Society B: Biological Sciences","id":"ITEM-4","issue":"1943","issued":{"date-parts":[["2021"]]},"title":"Aerial photogrammetry and tag-derived tissue density reveal patterns of lipid-store body condition of humpback whales on their feeding grounds","type":"article-journal","volume":"288"},"uris":["http://www.mendeley.com/documents/?uuid=b170957c-1a3d-408f-9ae1-4deb9338dc97"]},{"id":"ITEM-5","itemData":{"DOI":"10.1046/j.1420-9101.2003.00587.x","ISSN":"1010061X","PMID":"14635905","abstract":"Previous univariate studies of the yellow dung fly (Scathophaga stercoraria) have demonstrated strong sexual selection, in terms of mating success, on male size (estimated as hind tibia length). To identify specific target(s) of selection on body size and possible conflicting selection pressures on particular body parts, two multivariate field studies of sexual selection were conducted. In one study using point samples from three populations, we assessed several morphological traits, including genital traits and measures of fluctuating asymmetry (FA) of all paired traits. There was sexual selection for large male size in general, confirming previous, univariate studies. With the possible exception of thorax width, which was selected in the opposite direction, no main target of selection was identified, as most morphological traits were highly correlated. There was no detectable sexual selection on the male external genital structures assessed. In a second study using multiple samples from one population, we included physiological measures of energy reserves (lipids, glucose and glycogen) known to affect mating success, in addition to trait size and FA of wings and legs. Inclusion of physiological traits is rare in phenomenological studies of selection. This study again confirmed the mating advantage of large males, and additionally showed independent positive influences of lipid and glucose but not glycogen levels. FA in paired traits generally did not affect male mating success, but was negatively correlated with energy reserves. Our study suggests that inclusion of physiological measures and genital traits in phenomenological studies of selection would be fruitful in other species.","author":[{"dropping-particle":"","family":"Blanckenhorn","given":"Wolf U.","non-dropping-particle":"","parse-names":false,"suffix":""},{"dropping-particle":"","family":"Kraushaar","given":"U.","non-dropping-particle":"","parse-names":false,"suffix":""},{"dropping-particle":"","family":"Reim","given":"C.","non-dropping-particle":"","parse-names":false,"suffix":""}],"container-title":"Journal of Evolutionary Biology","id":"ITEM-5","issue":"5","issued":{"date-parts":[["2003"]]},"page":"903-913","title":"Sexual selection on morphological and physiological traits and fluctuating asymmetry in the yellow dung fly","type":"article-journal","volume":"16"},"uris":["http://www.mendeley.com/documents/?uuid=bb9b54e9-e704-48d2-b901-77813694aa63"]}],"mendeley":{"formattedCitation":"(Cranford 1999; Blanckenhorn et al. 2003; Svensson et al. 2004; Mckinney et al. 2014; Aoki et al. 2021)","manualFormatting":"(Cranford 1999; Blanckenhorn et al. 2003; Svensson et al. 2004; Mckinney et al. 2014; Aoki et al. 2021)","plainTextFormattedCitation":"(Cranford 1999; Blanckenhorn et al. 2003; Svensson et al. 2004; Mckinney et al. 2014; Aoki et al. 2021)","previouslyFormattedCitation":"(Cranford 1999; Blanckenhorn et al. 2003; Svensson et al. 2004; Mckinney et al. 2014; Aoki et al. 2021)"},"properties":{"noteIndex":0},"schema":"https://github.com/citation-style-language/schema/raw/master/csl-citation.json"}</w:instrText>
      </w:r>
      <w:r w:rsidRPr="00DF3DC8">
        <w:rPr>
          <w:rFonts w:ascii="Book Antiqua" w:hAnsi="Book Antiqua" w:cs="Times New Roman"/>
        </w:rPr>
        <w:fldChar w:fldCharType="separate"/>
      </w:r>
      <w:r w:rsidRPr="00DF3DC8">
        <w:rPr>
          <w:rFonts w:ascii="Book Antiqua" w:hAnsi="Book Antiqua" w:cs="Times New Roman"/>
          <w:noProof/>
        </w:rPr>
        <w:t>(Cranford 1999; Blanckenhorn</w:t>
      </w:r>
      <w:r>
        <w:rPr>
          <w:rFonts w:ascii="Book Antiqua" w:hAnsi="Book Antiqua" w:cs="Times New Roman"/>
          <w:noProof/>
        </w:rPr>
        <w:t xml:space="preserve"> et al.</w:t>
      </w:r>
      <w:r w:rsidRPr="00DF3DC8">
        <w:rPr>
          <w:rFonts w:ascii="Book Antiqua" w:hAnsi="Book Antiqua" w:cs="Times New Roman"/>
          <w:noProof/>
        </w:rPr>
        <w:t xml:space="preserve"> 2003; Svensson</w:t>
      </w:r>
      <w:r>
        <w:rPr>
          <w:rFonts w:ascii="Book Antiqua" w:hAnsi="Book Antiqua" w:cs="Times New Roman"/>
          <w:noProof/>
        </w:rPr>
        <w:t xml:space="preserve"> et al. </w:t>
      </w:r>
      <w:r w:rsidRPr="00DF3DC8">
        <w:rPr>
          <w:rFonts w:ascii="Book Antiqua" w:hAnsi="Book Antiqua" w:cs="Times New Roman"/>
          <w:noProof/>
        </w:rPr>
        <w:t>2004; Mckinney et al. 2014; Aoki et al. 2021)</w:t>
      </w:r>
      <w:r w:rsidRPr="00DF3DC8">
        <w:rPr>
          <w:rFonts w:ascii="Book Antiqua" w:hAnsi="Book Antiqua" w:cs="Times New Roman"/>
        </w:rPr>
        <w:fldChar w:fldCharType="end"/>
      </w:r>
      <w:r w:rsidRPr="00DF3DC8">
        <w:rPr>
          <w:rFonts w:ascii="Book Antiqua" w:hAnsi="Book Antiqua" w:cs="Times New Roman"/>
        </w:rPr>
        <w:t>. Thus, by estimating the amount of lipid, we can infer if color is associated with male quality. Measuring lipid content consisted of two steps: (</w:t>
      </w:r>
      <w:proofErr w:type="spellStart"/>
      <w:r w:rsidRPr="00DF3DC8">
        <w:rPr>
          <w:rFonts w:ascii="Book Antiqua" w:hAnsi="Book Antiqua" w:cs="Times New Roman"/>
        </w:rPr>
        <w:t>i</w:t>
      </w:r>
      <w:proofErr w:type="spellEnd"/>
      <w:r w:rsidRPr="00DF3DC8">
        <w:rPr>
          <w:rFonts w:ascii="Book Antiqua" w:hAnsi="Book Antiqua" w:cs="Times New Roman"/>
        </w:rPr>
        <w:t>) the extraction of the lipids from the tissue, and (ii) measurement of total lipids in the sample. For the extraction of lipids, we used the protocol from Folch et al. (1957) and Parrish (1998) and adjusted it for small tissue samples. To do this, we dissected the individuals and weighed the internal contents of the carapaces (e.g., stomach, gonads, gills, and hepatopancreas).</w:t>
      </w:r>
      <w:r w:rsidRPr="00FD4D7E">
        <w:rPr>
          <w:rFonts w:ascii="Book Antiqua" w:hAnsi="Book Antiqua" w:cs="Times New Roman"/>
        </w:rPr>
        <w:t xml:space="preserve"> </w:t>
      </w:r>
      <w:r w:rsidRPr="00DF3DC8">
        <w:rPr>
          <w:rFonts w:ascii="Book Antiqua" w:hAnsi="Book Antiqua" w:cs="Times New Roman"/>
        </w:rPr>
        <w:t>Next, we immersed each entrail sample in a chloroform:</w:t>
      </w:r>
      <w:r>
        <w:rPr>
          <w:rFonts w:ascii="Book Antiqua" w:hAnsi="Book Antiqua" w:cs="Times New Roman"/>
        </w:rPr>
        <w:t xml:space="preserve"> </w:t>
      </w:r>
      <w:r w:rsidRPr="00DF3DC8">
        <w:rPr>
          <w:rFonts w:ascii="Book Antiqua" w:hAnsi="Book Antiqua" w:cs="Times New Roman"/>
        </w:rPr>
        <w:t xml:space="preserve">methanol solution (i.e., homogenization solution) with a 2:1 volume ratio. The volume of homogenization solution added was equal to 50 times the mass of each sample (e.g., for a sample weighing 0.02 g, the volume of homogenization solution added was 1 mL). After immersion of the samples, they were homogenized at approximately 20 rpm with an Ultra </w:t>
      </w:r>
      <w:proofErr w:type="spellStart"/>
      <w:r w:rsidRPr="00DF3DC8">
        <w:rPr>
          <w:rFonts w:ascii="Book Antiqua" w:hAnsi="Book Antiqua" w:cs="Times New Roman"/>
        </w:rPr>
        <w:t>Turrax</w:t>
      </w:r>
      <w:proofErr w:type="spellEnd"/>
      <w:r w:rsidRPr="00DF3DC8">
        <w:rPr>
          <w:rFonts w:ascii="Book Antiqua" w:hAnsi="Book Antiqua" w:cs="Times New Roman"/>
        </w:rPr>
        <w:t xml:space="preserve"> homogenizer at room temperature until there were no visible tissue parts. We added distilled water to this mixture in a volume equal to 1</w:t>
      </w:r>
      <w:r>
        <w:rPr>
          <w:rFonts w:ascii="Book Antiqua" w:hAnsi="Book Antiqua" w:cs="Times New Roman"/>
        </w:rPr>
        <w:t>/</w:t>
      </w:r>
      <w:r w:rsidRPr="00DF3DC8">
        <w:rPr>
          <w:rFonts w:ascii="Book Antiqua" w:hAnsi="Book Antiqua" w:cs="Times New Roman"/>
        </w:rPr>
        <w:t xml:space="preserve">7 times the initial volume of the homogenization solution (e.g., for a 0.02 g sample to which 1 mL of homogenization solution </w:t>
      </w:r>
      <w:r w:rsidRPr="00DF3DC8">
        <w:rPr>
          <w:rFonts w:ascii="Book Antiqua" w:hAnsi="Book Antiqua" w:cs="Times New Roman"/>
        </w:rPr>
        <w:lastRenderedPageBreak/>
        <w:t>was added, the volume of distilled water added was approximately 143 µL). Then, we centrifuged the samples at 1000 rpm for 3 minutes at room temperature.</w:t>
      </w:r>
    </w:p>
    <w:p w14:paraId="795DD863" w14:textId="77777777" w:rsidR="00FD4D7E" w:rsidRPr="00DF3DC8" w:rsidRDefault="00FD4D7E" w:rsidP="00FD4D7E">
      <w:pPr>
        <w:spacing w:line="480" w:lineRule="auto"/>
        <w:ind w:firstLine="720"/>
        <w:rPr>
          <w:rFonts w:ascii="Book Antiqua" w:hAnsi="Book Antiqua" w:cs="Times New Roman"/>
        </w:rPr>
      </w:pPr>
      <w:r w:rsidRPr="00DF3DC8">
        <w:rPr>
          <w:rFonts w:ascii="Book Antiqua" w:hAnsi="Book Antiqua" w:cs="Times New Roman"/>
        </w:rPr>
        <w:t>After centrifugation, a two-phase system was formed in each sample. We collected the lower (organic) phase and transferred it to another capped flask. To the upper phase, we added a volume of homogenization solution equal to 1</w:t>
      </w:r>
      <w:r>
        <w:rPr>
          <w:rFonts w:ascii="Book Antiqua" w:hAnsi="Book Antiqua" w:cs="Times New Roman"/>
        </w:rPr>
        <w:t>/</w:t>
      </w:r>
      <w:r w:rsidRPr="00DF3DC8">
        <w:rPr>
          <w:rFonts w:ascii="Book Antiqua" w:hAnsi="Book Antiqua" w:cs="Times New Roman"/>
        </w:rPr>
        <w:t>3 times the volume of homogenization solution added at the beginning of the extraction (e.g., for a 0.02 g sample to which 1 mL of homogenization solution was added, the volume of homogenization solution added at this stage was approximately 333 µL). Then, we centrifuged the samples again to form the two-phase system. We performed the process of collecting the lower phase and adding homogenization solution to the upper phase at least three times for each sample. After collecting the lower phase from the resulting two-phase system of the third centrifugation, we discarded the remaining upper phase and worked only with the collected lower phase.</w:t>
      </w:r>
    </w:p>
    <w:p w14:paraId="204354D7" w14:textId="77777777" w:rsidR="00FD4D7E" w:rsidRPr="00DF3DC8" w:rsidRDefault="00FD4D7E" w:rsidP="00FD4D7E">
      <w:pPr>
        <w:spacing w:line="480" w:lineRule="auto"/>
        <w:ind w:firstLine="720"/>
        <w:rPr>
          <w:rFonts w:ascii="Book Antiqua" w:hAnsi="Book Antiqua" w:cs="Times New Roman"/>
        </w:rPr>
      </w:pPr>
      <w:r w:rsidRPr="00DF3DC8">
        <w:rPr>
          <w:rFonts w:ascii="Book Antiqua" w:hAnsi="Book Antiqua" w:cs="Times New Roman"/>
        </w:rPr>
        <w:t>After centrifugation and discarding the upper phase, we added 0.73% NaCl to the lower phase samples in a volume equivalent to 1</w:t>
      </w:r>
      <w:r>
        <w:rPr>
          <w:rFonts w:ascii="Book Antiqua" w:hAnsi="Book Antiqua" w:cs="Times New Roman"/>
        </w:rPr>
        <w:t>/</w:t>
      </w:r>
      <w:r w:rsidRPr="00DF3DC8">
        <w:rPr>
          <w:rFonts w:ascii="Book Antiqua" w:hAnsi="Book Antiqua" w:cs="Times New Roman"/>
        </w:rPr>
        <w:t>5 times the volume of homogenization solution added at the beginning of the extraction (e.g., for a 0.02 g sample to which 1 mL of homogenization solution was initially added, the volume of 0.73% NaCl added at this stage was approximately 200 µL). Immediately afterwards, we added 400 µL more of homogenization solution to each sample and stirred to mix the solvents. Then, we left the samples at room temperature, covered</w:t>
      </w:r>
      <w:r>
        <w:rPr>
          <w:rFonts w:ascii="Book Antiqua" w:hAnsi="Book Antiqua" w:cs="Times New Roman"/>
        </w:rPr>
        <w:t>,</w:t>
      </w:r>
      <w:r w:rsidRPr="00DF3DC8">
        <w:rPr>
          <w:rFonts w:ascii="Book Antiqua" w:hAnsi="Book Antiqua" w:cs="Times New Roman"/>
        </w:rPr>
        <w:t xml:space="preserve"> and capped, until a clear two-phase system was formed in them without particles in suspension. When the two-phase system was well defined, we collected and discarded the upper phase, and gently washed the surface of the lower phase with a solution of chloroform: methanol: magnesium chloride 0.034% in a volumetric ratio of 3:48:47, without allowing any mixing between the lower phase and the solution. The process of discarding the upper phase followed by washing the surface of the lower phase was repeated until there were </w:t>
      </w:r>
      <w:r w:rsidRPr="00DF3DC8">
        <w:rPr>
          <w:rFonts w:ascii="Book Antiqua" w:hAnsi="Book Antiqua" w:cs="Times New Roman"/>
        </w:rPr>
        <w:lastRenderedPageBreak/>
        <w:t>no residues on the surface of the lower phase. Then, we added methanol to each sample in sufficient quantity so that, by shaking the sample, a single-phase system was formed. We then placed the samples in an oven for the solvents to evaporate. After the solvents had evaporated, we dissolved the samples in 250 µL of chloroform and stored them at -20°C until we determined the total lipids.</w:t>
      </w:r>
    </w:p>
    <w:p w14:paraId="5DDF1648" w14:textId="109EF8E9" w:rsidR="00FD4D7E" w:rsidRPr="00DF3DC8" w:rsidRDefault="00FD4D7E" w:rsidP="00FD4D7E">
      <w:pPr>
        <w:spacing w:line="480" w:lineRule="auto"/>
        <w:ind w:firstLine="720"/>
        <w:rPr>
          <w:rFonts w:ascii="Book Antiqua" w:hAnsi="Book Antiqua" w:cs="Times New Roman"/>
        </w:rPr>
      </w:pPr>
      <w:r w:rsidRPr="00DF3DC8">
        <w:rPr>
          <w:rFonts w:ascii="Book Antiqua" w:hAnsi="Book Antiqua" w:cs="Times New Roman"/>
        </w:rPr>
        <w:t>For the second step, measuring total lipids, we used</w:t>
      </w:r>
      <w:r w:rsidRPr="00DF3DC8">
        <w:rPr>
          <w:rFonts w:ascii="Book Antiqua" w:hAnsi="Book Antiqua" w:cs="Times New Roman"/>
          <w:i/>
          <w:iCs/>
        </w:rPr>
        <w:t xml:space="preserve"> </w:t>
      </w:r>
      <w:r w:rsidRPr="00DF3DC8">
        <w:rPr>
          <w:rFonts w:ascii="Book Antiqua" w:hAnsi="Book Antiqua" w:cs="Times New Roman"/>
        </w:rPr>
        <w:t>an adapted protocol from Frings &amp; Dunn (1970), Frings et al. (1972), and Knight et al. (1972)</w:t>
      </w:r>
      <w:r>
        <w:rPr>
          <w:rFonts w:ascii="Book Antiqua" w:hAnsi="Book Antiqua" w:cs="Times New Roman"/>
        </w:rPr>
        <w:t xml:space="preserve"> </w:t>
      </w:r>
      <w:r>
        <w:rPr>
          <w:rFonts w:ascii="Book Antiqua" w:hAnsi="Book Antiqua" w:cs="Times New Roman"/>
        </w:rPr>
        <w:fldChar w:fldCharType="begin" w:fldLock="1"/>
      </w:r>
      <w:r>
        <w:rPr>
          <w:rFonts w:ascii="Book Antiqua" w:hAnsi="Book Antiqua" w:cs="Times New Roman"/>
        </w:rPr>
        <w:instrText>ADDIN CSL_CITATION {"citationItems":[{"id":"ITEM-1","itemData":{"DOI":"10.1093/ajcp/53.1.89","ISSN":"00029173","PMID":"5410040","author":[{"dropping-particle":"","family":"Frings","given":"C. S.","non-dropping-particle":"","parse-names":false,"suffix":""},{"dropping-particle":"","family":"Dunn","given":"R. T.","non-dropping-particle":"","parse-names":false,"suffix":""}],"container-title":"American journal of clinical pathology","id":"ITEM-1","issue":"1","issued":{"date-parts":[["1970"]]},"page":"89-91","title":"A colorimetric method for determination of total serum lipids based on the sulfo-phospho-vanillin reaction.","type":"article-journal","volume":"53"},"uris":["http://www.mendeley.com/documents/?uuid=1d0a52fe-7fa2-4a9a-b96a-5623df7dcf28"]},{"id":"ITEM-2","itemData":{"DOI":"10.1093/clinchem/18.7.673","ISSN":"00099147","PMID":"5037917","author":[{"dropping-particle":"","family":"Frings","given":"C. S.","non-dropping-particle":"","parse-names":false,"suffix":""},{"dropping-particle":"","family":"Fendley","given":"T. W.","non-dropping-particle":"","parse-names":false,"suffix":""},{"dropping-particle":"","family":"Dunn","given":"R. T.","non-dropping-particle":"","parse-names":false,"suffix":""},{"dropping-particle":"","family":"Queen","given":"C. A.","non-dropping-particle":"","parse-names":false,"suffix":""}],"container-title":"Clinical chemistry","id":"ITEM-2","issue":"7","issued":{"date-parts":[["1972"]]},"page":"673-674","title":"Improved determination of total serum lipids by the sulfo-phospho-vanillin reaction.","type":"article-journal","volume":"18"},"uris":["http://www.mendeley.com/documents/?uuid=438d6625-f9dd-46ce-ba05-5271a1e0855d"]},{"id":"ITEM-3","itemData":{"DOI":"10.1093/clinchem/18.3.199","ISSN":"00099147","PMID":"5020813","author":[{"dropping-particle":"","family":"Knight","given":"J. A.","non-dropping-particle":"","parse-names":false,"suffix":""},{"dropping-particle":"","family":"Anderson","given":"S.","non-dropping-particle":"","parse-names":false,"suffix":""},{"dropping-particle":"","family":"Rawle","given":"J. M.","non-dropping-particle":"","parse-names":false,"suffix":""}],"container-title":"Clinical chemistry","id":"ITEM-3","issue":"3","issued":{"date-parts":[["1972"]]},"page":"199-202","title":"Chemical basis of the sulfo-phospho-vanillin reaction for estimating total serum lipids.","type":"article-journal","volume":"18"},"uris":["http://www.mendeley.com/documents/?uuid=c4a90da0-1960-4869-809c-74afffc492d6"]}],"mendeley":{"formattedCitation":"(Frings and Dunn 1970; Frings et al. 1972; Knight et al. 1972)","manualFormatting":"(Frings and Dunn 1970; Frings et al. 1972; Knight et al. 1972)","plainTextFormattedCitation":"(Frings and Dunn 1970; Frings et al. 1972; Knight et al. 1972)","previouslyFormattedCitation":"(Frings and Dunn 1970; Frings et al. 1972; Knight et al. 1972)"},"properties":{"noteIndex":0},"schema":"https://github.com/citation-style-language/schema/raw/master/csl-citation.json"}</w:instrText>
      </w:r>
      <w:r>
        <w:rPr>
          <w:rFonts w:ascii="Book Antiqua" w:hAnsi="Book Antiqua" w:cs="Times New Roman"/>
        </w:rPr>
        <w:fldChar w:fldCharType="separate"/>
      </w:r>
      <w:r w:rsidRPr="00441EEF">
        <w:rPr>
          <w:rFonts w:ascii="Book Antiqua" w:hAnsi="Book Antiqua" w:cs="Times New Roman"/>
          <w:noProof/>
        </w:rPr>
        <w:t xml:space="preserve">(Frings </w:t>
      </w:r>
      <w:r>
        <w:rPr>
          <w:rFonts w:ascii="Book Antiqua" w:hAnsi="Book Antiqua" w:cs="Times New Roman"/>
          <w:noProof/>
        </w:rPr>
        <w:t>and</w:t>
      </w:r>
      <w:r w:rsidRPr="00441EEF">
        <w:rPr>
          <w:rFonts w:ascii="Book Antiqua" w:hAnsi="Book Antiqua" w:cs="Times New Roman"/>
          <w:noProof/>
        </w:rPr>
        <w:t xml:space="preserve"> Dunn 1970; Frings et al. 1972; Knight</w:t>
      </w:r>
      <w:r>
        <w:rPr>
          <w:rFonts w:ascii="Book Antiqua" w:hAnsi="Book Antiqua" w:cs="Times New Roman"/>
          <w:noProof/>
        </w:rPr>
        <w:t xml:space="preserve"> et al. </w:t>
      </w:r>
      <w:r w:rsidRPr="00441EEF">
        <w:rPr>
          <w:rFonts w:ascii="Book Antiqua" w:hAnsi="Book Antiqua" w:cs="Times New Roman"/>
          <w:noProof/>
        </w:rPr>
        <w:t>1972)</w:t>
      </w:r>
      <w:r>
        <w:rPr>
          <w:rFonts w:ascii="Book Antiqua" w:hAnsi="Book Antiqua" w:cs="Times New Roman"/>
        </w:rPr>
        <w:fldChar w:fldCharType="end"/>
      </w:r>
      <w:r w:rsidRPr="00DF3DC8">
        <w:rPr>
          <w:rFonts w:ascii="Book Antiqua" w:hAnsi="Book Antiqua" w:cs="Times New Roman"/>
        </w:rPr>
        <w:t>.</w:t>
      </w:r>
      <w:r>
        <w:rPr>
          <w:rFonts w:ascii="Book Antiqua" w:hAnsi="Book Antiqua" w:cs="Times New Roman"/>
        </w:rPr>
        <w:t xml:space="preserve"> </w:t>
      </w:r>
      <w:r w:rsidRPr="00DF3DC8">
        <w:rPr>
          <w:rFonts w:ascii="Book Antiqua" w:hAnsi="Book Antiqua" w:cs="Times New Roman"/>
        </w:rPr>
        <w:t xml:space="preserve">To do this, we collected 20 µL of each lipid sample suspended in chloroform and transferred it to new tubes, which were then placed in an oven until completely dried. Then, we added 200 µL of concentrated sulfuric acid to each tube and shook it. Next, we placed the samples in a boiling water bath for 10 minutes. After the samples cooled for 5 minutes, we added 5 mL of </w:t>
      </w:r>
      <w:proofErr w:type="spellStart"/>
      <w:r w:rsidRPr="00DF3DC8">
        <w:rPr>
          <w:rFonts w:ascii="Book Antiqua" w:hAnsi="Book Antiqua" w:cs="Times New Roman"/>
        </w:rPr>
        <w:t>phosphovanillin</w:t>
      </w:r>
      <w:proofErr w:type="spellEnd"/>
      <w:r w:rsidRPr="00DF3DC8">
        <w:rPr>
          <w:rFonts w:ascii="Book Antiqua" w:hAnsi="Book Antiqua" w:cs="Times New Roman"/>
        </w:rPr>
        <w:t xml:space="preserve"> reagent (0.6% vanillin: distilled water: concentrated phosphoric acid in a volumetric ratio of 7:1:12) to each tube and incubated the samples for 15 minutes at 37°C. After cooling, we measured the absorbance of each sample at 540 nm using a spectrophotometer calibrated with a solution prepared only with reagents (i.e., without </w:t>
      </w:r>
      <w:r>
        <w:rPr>
          <w:rFonts w:ascii="Book Antiqua" w:hAnsi="Book Antiqua" w:cs="Times New Roman"/>
        </w:rPr>
        <w:t xml:space="preserve">a </w:t>
      </w:r>
      <w:r w:rsidRPr="00DF3DC8">
        <w:rPr>
          <w:rFonts w:ascii="Book Antiqua" w:hAnsi="Book Antiqua" w:cs="Times New Roman"/>
        </w:rPr>
        <w:t>lipid sample).</w:t>
      </w:r>
    </w:p>
    <w:p w14:paraId="5266AD02" w14:textId="77777777" w:rsidR="00FD4D7E" w:rsidRPr="00DF3DC8" w:rsidRDefault="00FD4D7E" w:rsidP="00FD4D7E">
      <w:pPr>
        <w:spacing w:line="480" w:lineRule="auto"/>
        <w:ind w:firstLine="720"/>
        <w:rPr>
          <w:rFonts w:ascii="Book Antiqua" w:hAnsi="Book Antiqua" w:cs="Times New Roman"/>
        </w:rPr>
      </w:pPr>
      <w:r w:rsidRPr="00DF3DC8">
        <w:rPr>
          <w:rFonts w:ascii="Book Antiqua" w:hAnsi="Book Antiqua" w:cs="Times New Roman"/>
        </w:rPr>
        <w:t xml:space="preserve">To calculate the amount of lipids in each sample based on the absorbance values obtained, we established a standard curve using a standard solution of 1 µL of cod liver oil for every 99 µL of chloroform. The total lipid amount of the standard solution was calculated by placing 1 mL of the solution in two </w:t>
      </w:r>
      <w:r>
        <w:rPr>
          <w:rFonts w:ascii="Book Antiqua" w:hAnsi="Book Antiqua" w:cs="Times New Roman"/>
        </w:rPr>
        <w:t>small tin foil bowls</w:t>
      </w:r>
      <w:r w:rsidRPr="00DF3DC8">
        <w:rPr>
          <w:rFonts w:ascii="Book Antiqua" w:hAnsi="Book Antiqua" w:cs="Times New Roman"/>
        </w:rPr>
        <w:t xml:space="preserve">, drying the solvent in an oven, and weighing the dry material on a precision scale. We estimated the total lipid mass for each 1 mL of the standard solution from the average mass values of the two aluminum forms. Then, the standard curve was established using different volumes of the standard solution to obtain the absorbance values through the </w:t>
      </w:r>
      <w:proofErr w:type="spellStart"/>
      <w:r w:rsidRPr="00DF3DC8">
        <w:rPr>
          <w:rFonts w:ascii="Book Antiqua" w:hAnsi="Book Antiqua" w:cs="Times New Roman"/>
        </w:rPr>
        <w:t>sulfo-phosphovanillin</w:t>
      </w:r>
      <w:proofErr w:type="spellEnd"/>
      <w:r w:rsidRPr="00DF3DC8">
        <w:rPr>
          <w:rFonts w:ascii="Book Antiqua" w:hAnsi="Book Antiqua" w:cs="Times New Roman"/>
        </w:rPr>
        <w:t xml:space="preserve"> reaction described above, and then </w:t>
      </w:r>
      <w:r w:rsidRPr="00DF3DC8">
        <w:rPr>
          <w:rFonts w:ascii="Book Antiqua" w:hAnsi="Book Antiqua" w:cs="Times New Roman"/>
        </w:rPr>
        <w:lastRenderedPageBreak/>
        <w:t>defining the equation of the line from the known values of lipid mass for each absorbance value obtained.</w:t>
      </w:r>
    </w:p>
    <w:p w14:paraId="4808124C" w14:textId="77777777" w:rsidR="00FD4D7E" w:rsidRPr="00DF3DC8" w:rsidRDefault="00FD4D7E" w:rsidP="00FD4D7E">
      <w:pPr>
        <w:spacing w:line="480" w:lineRule="auto"/>
        <w:ind w:firstLine="720"/>
        <w:rPr>
          <w:rFonts w:ascii="Book Antiqua" w:hAnsi="Book Antiqua" w:cs="Times New Roman"/>
        </w:rPr>
      </w:pPr>
      <w:r w:rsidRPr="00DF3DC8">
        <w:rPr>
          <w:rFonts w:ascii="Book Antiqua" w:hAnsi="Book Antiqua" w:cs="Times New Roman"/>
        </w:rPr>
        <w:t>The absorbance values of the lipid samples obtained from the</w:t>
      </w:r>
      <w:r>
        <w:rPr>
          <w:rFonts w:ascii="Book Antiqua" w:hAnsi="Book Antiqua" w:cs="Times New Roman"/>
        </w:rPr>
        <w:t xml:space="preserve"> crabs </w:t>
      </w:r>
      <w:r w:rsidRPr="00DF3DC8">
        <w:rPr>
          <w:rFonts w:ascii="Book Antiqua" w:hAnsi="Book Antiqua" w:cs="Times New Roman"/>
        </w:rPr>
        <w:t xml:space="preserve">were used in the </w:t>
      </w:r>
      <w:r>
        <w:rPr>
          <w:rFonts w:ascii="Book Antiqua" w:hAnsi="Book Antiqua" w:cs="Times New Roman"/>
        </w:rPr>
        <w:t xml:space="preserve">linear </w:t>
      </w:r>
      <w:r w:rsidRPr="00DF3DC8">
        <w:rPr>
          <w:rFonts w:ascii="Book Antiqua" w:hAnsi="Book Antiqua" w:cs="Times New Roman"/>
        </w:rPr>
        <w:t>equation</w:t>
      </w:r>
      <w:r>
        <w:rPr>
          <w:rFonts w:ascii="Book Antiqua" w:hAnsi="Book Antiqua" w:cs="Times New Roman"/>
        </w:rPr>
        <w:t>s</w:t>
      </w:r>
      <w:r w:rsidRPr="00DF3DC8">
        <w:rPr>
          <w:rFonts w:ascii="Book Antiqua" w:hAnsi="Book Antiqua" w:cs="Times New Roman"/>
        </w:rPr>
        <w:t xml:space="preserve"> calculated for the standard curve, and thus we estimated the expected amount of lipids for each absorbance value of the samples. Since the estimated lipid mass of the samples was calculated for each 20 µL of lipid extract sample, we calculated the mass of lipids for the total 250 µL of sample (which contained all the lipids extracted from the individuals). Knowing the total mass of the entrails of each collected individual, we obtained the </w:t>
      </w:r>
      <w:r>
        <w:rPr>
          <w:rFonts w:ascii="Book Antiqua" w:hAnsi="Book Antiqua" w:cs="Times New Roman"/>
        </w:rPr>
        <w:t xml:space="preserve">amount </w:t>
      </w:r>
      <w:r w:rsidRPr="00DF3DC8">
        <w:rPr>
          <w:rFonts w:ascii="Book Antiqua" w:hAnsi="Book Antiqua" w:cs="Times New Roman"/>
        </w:rPr>
        <w:t>of lipids</w:t>
      </w:r>
      <w:r>
        <w:rPr>
          <w:rFonts w:ascii="Book Antiqua" w:hAnsi="Book Antiqua" w:cs="Times New Roman"/>
        </w:rPr>
        <w:t xml:space="preserve"> (in mg)</w:t>
      </w:r>
      <w:r w:rsidRPr="00DF3DC8">
        <w:rPr>
          <w:rFonts w:ascii="Book Antiqua" w:hAnsi="Book Antiqua" w:cs="Times New Roman"/>
        </w:rPr>
        <w:t xml:space="preserve"> that each crab had per gram of entrails (mg/g), and this value was used to infer the quality of the collected individuals (i.e., the more stored lipids, the higher the quality of the individual).</w:t>
      </w:r>
    </w:p>
    <w:p w14:paraId="2A48A476" w14:textId="77777777" w:rsidR="00FD4D7E" w:rsidRDefault="00FD4D7E">
      <w:pPr>
        <w:widowControl/>
        <w:spacing w:after="160" w:line="259" w:lineRule="auto"/>
        <w:rPr>
          <w:rFonts w:ascii="Times New Roman" w:eastAsia="Times New Roman" w:hAnsi="Times New Roman" w:cs="Times New Roman"/>
          <w:b/>
          <w:bCs/>
          <w:color w:val="auto"/>
          <w:sz w:val="24"/>
          <w:szCs w:val="24"/>
        </w:rPr>
        <w:sectPr w:rsidR="00FD4D7E" w:rsidSect="00997FD8">
          <w:headerReference w:type="default" r:id="rId6"/>
          <w:pgSz w:w="12240" w:h="15840"/>
          <w:pgMar w:top="1440" w:right="1440" w:bottom="1440" w:left="1440" w:header="720" w:footer="720" w:gutter="0"/>
          <w:cols w:space="720"/>
          <w:docGrid w:linePitch="360"/>
        </w:sectPr>
      </w:pPr>
    </w:p>
    <w:p w14:paraId="62302199" w14:textId="521A6DC8" w:rsidR="00FD4D7E" w:rsidRDefault="00FD4D7E">
      <w:pPr>
        <w:widowControl/>
        <w:spacing w:after="160" w:line="259" w:lineRule="auto"/>
        <w:rPr>
          <w:rFonts w:ascii="Times New Roman" w:eastAsia="Times New Roman" w:hAnsi="Times New Roman" w:cs="Times New Roman"/>
          <w:b/>
          <w:bCs/>
          <w:color w:val="auto"/>
          <w:sz w:val="24"/>
          <w:szCs w:val="24"/>
        </w:rPr>
      </w:pPr>
    </w:p>
    <w:p w14:paraId="4A213A5F" w14:textId="221D6F25" w:rsidR="00F536DE" w:rsidRPr="00B417C7" w:rsidRDefault="00F536DE" w:rsidP="00F536DE">
      <w:pPr>
        <w:spacing w:line="480" w:lineRule="auto"/>
        <w:rPr>
          <w:rFonts w:ascii="Times New Roman" w:hAnsi="Times New Roman" w:cs="Times New Roman"/>
          <w:color w:val="auto"/>
          <w:sz w:val="24"/>
          <w:szCs w:val="24"/>
        </w:rPr>
      </w:pPr>
      <w:r w:rsidRPr="00B417C7">
        <w:rPr>
          <w:rFonts w:ascii="Times New Roman" w:eastAsia="Times New Roman" w:hAnsi="Times New Roman" w:cs="Times New Roman"/>
          <w:b/>
          <w:bCs/>
          <w:color w:val="auto"/>
          <w:sz w:val="24"/>
          <w:szCs w:val="24"/>
        </w:rPr>
        <w:t>Ta</w:t>
      </w:r>
      <w:r w:rsidRPr="00B417C7">
        <w:rPr>
          <w:rFonts w:ascii="Times New Roman" w:hAnsi="Times New Roman" w:cs="Times New Roman"/>
          <w:b/>
          <w:bCs/>
          <w:color w:val="auto"/>
          <w:sz w:val="24"/>
          <w:szCs w:val="24"/>
        </w:rPr>
        <w:t xml:space="preserve">ble </w:t>
      </w:r>
      <w:r w:rsidR="00F22B5D" w:rsidRPr="00B417C7">
        <w:rPr>
          <w:rFonts w:ascii="Times New Roman" w:hAnsi="Times New Roman" w:cs="Times New Roman"/>
          <w:b/>
          <w:bCs/>
          <w:color w:val="auto"/>
          <w:sz w:val="24"/>
          <w:szCs w:val="24"/>
        </w:rPr>
        <w:t>S</w:t>
      </w:r>
      <w:r w:rsidRPr="00B417C7">
        <w:rPr>
          <w:rFonts w:ascii="Times New Roman" w:hAnsi="Times New Roman" w:cs="Times New Roman"/>
          <w:b/>
          <w:bCs/>
          <w:color w:val="auto"/>
          <w:sz w:val="24"/>
          <w:szCs w:val="24"/>
        </w:rPr>
        <w:t xml:space="preserve">1. </w:t>
      </w:r>
      <w:r w:rsidRPr="00B417C7">
        <w:rPr>
          <w:rFonts w:ascii="Times New Roman" w:hAnsi="Times New Roman" w:cs="Times New Roman"/>
          <w:color w:val="auto"/>
          <w:sz w:val="24"/>
          <w:szCs w:val="24"/>
        </w:rPr>
        <w:t xml:space="preserve">Results from the tests of </w:t>
      </w:r>
      <w:r w:rsidR="00F1293B">
        <w:rPr>
          <w:rFonts w:ascii="Times New Roman" w:hAnsi="Times New Roman" w:cs="Times New Roman"/>
          <w:color w:val="auto"/>
          <w:sz w:val="24"/>
          <w:szCs w:val="24"/>
        </w:rPr>
        <w:t xml:space="preserve">a </w:t>
      </w:r>
      <w:r w:rsidRPr="00B417C7">
        <w:rPr>
          <w:rFonts w:ascii="Times New Roman" w:hAnsi="Times New Roman" w:cs="Times New Roman"/>
          <w:color w:val="auto"/>
          <w:sz w:val="24"/>
          <w:szCs w:val="24"/>
        </w:rPr>
        <w:t>relationship between</w:t>
      </w:r>
      <w:commentRangeStart w:id="0"/>
      <w:r w:rsidRPr="00B417C7">
        <w:rPr>
          <w:rFonts w:ascii="Times New Roman" w:hAnsi="Times New Roman" w:cs="Times New Roman"/>
          <w:color w:val="auto"/>
          <w:sz w:val="24"/>
          <w:szCs w:val="24"/>
        </w:rPr>
        <w:t xml:space="preserve"> </w:t>
      </w:r>
      <w:commentRangeEnd w:id="0"/>
      <w:r w:rsidR="00990623">
        <w:rPr>
          <w:rStyle w:val="CommentReference"/>
          <w:rFonts w:asciiTheme="minorHAnsi" w:eastAsiaTheme="minorHAnsi" w:hAnsiTheme="minorHAnsi" w:cs="Mangal"/>
          <w:kern w:val="2"/>
          <w:lang w:eastAsia="en-US" w:bidi="ar-SA"/>
          <w14:ligatures w14:val="standardContextual"/>
        </w:rPr>
        <w:commentReference w:id="0"/>
      </w:r>
      <w:r w:rsidR="00990623">
        <w:rPr>
          <w:rFonts w:ascii="Times New Roman" w:hAnsi="Times New Roman" w:cs="Times New Roman"/>
          <w:color w:val="auto"/>
          <w:sz w:val="24"/>
          <w:szCs w:val="24"/>
        </w:rPr>
        <w:t xml:space="preserve"> red, green, and blue</w:t>
      </w:r>
      <w:r w:rsidRPr="00B417C7">
        <w:rPr>
          <w:rFonts w:ascii="Times New Roman" w:hAnsi="Times New Roman" w:cs="Times New Roman"/>
          <w:color w:val="auto"/>
          <w:sz w:val="24"/>
          <w:szCs w:val="24"/>
        </w:rPr>
        <w:t xml:space="preserve"> reflectance and body/claw measurements. From each model, the estimate (β), standard error (SE), </w:t>
      </w:r>
      <w:r w:rsidR="00F1293B">
        <w:rPr>
          <w:rFonts w:ascii="Times New Roman" w:hAnsi="Times New Roman" w:cs="Times New Roman"/>
          <w:color w:val="auto"/>
          <w:sz w:val="24"/>
          <w:szCs w:val="24"/>
        </w:rPr>
        <w:t>z</w:t>
      </w:r>
      <w:r w:rsidRPr="00B417C7">
        <w:rPr>
          <w:rFonts w:ascii="Times New Roman" w:hAnsi="Times New Roman" w:cs="Times New Roman"/>
          <w:color w:val="auto"/>
          <w:sz w:val="24"/>
          <w:szCs w:val="24"/>
        </w:rPr>
        <w:t xml:space="preserve">-value, and </w:t>
      </w:r>
      <w:r w:rsidRPr="00B417C7">
        <w:rPr>
          <w:rFonts w:ascii="Times New Roman" w:hAnsi="Times New Roman" w:cs="Times New Roman"/>
          <w:i/>
          <w:iCs/>
          <w:color w:val="auto"/>
          <w:sz w:val="24"/>
          <w:szCs w:val="24"/>
        </w:rPr>
        <w:t>p-value</w:t>
      </w:r>
      <w:r w:rsidRPr="00B417C7">
        <w:rPr>
          <w:rFonts w:ascii="Times New Roman" w:hAnsi="Times New Roman" w:cs="Times New Roman"/>
          <w:color w:val="auto"/>
          <w:sz w:val="24"/>
          <w:szCs w:val="24"/>
        </w:rPr>
        <w:t xml:space="preserve"> are reported. All models assumed </w:t>
      </w:r>
      <w:proofErr w:type="gramStart"/>
      <w:r w:rsidRPr="00B417C7">
        <w:rPr>
          <w:rFonts w:ascii="Times New Roman" w:hAnsi="Times New Roman" w:cs="Times New Roman"/>
          <w:color w:val="auto"/>
          <w:sz w:val="24"/>
          <w:szCs w:val="24"/>
        </w:rPr>
        <w:t xml:space="preserve">a </w:t>
      </w:r>
      <w:r w:rsidR="00B417C7" w:rsidRPr="00B417C7">
        <w:rPr>
          <w:rFonts w:ascii="Times New Roman" w:hAnsi="Times New Roman" w:cs="Times New Roman"/>
          <w:color w:val="auto"/>
          <w:sz w:val="24"/>
          <w:szCs w:val="24"/>
        </w:rPr>
        <w:t>beta</w:t>
      </w:r>
      <w:proofErr w:type="gramEnd"/>
      <w:r w:rsidR="00B417C7" w:rsidRPr="00B417C7">
        <w:rPr>
          <w:rFonts w:ascii="Times New Roman" w:hAnsi="Times New Roman" w:cs="Times New Roman"/>
          <w:color w:val="auto"/>
          <w:sz w:val="24"/>
          <w:szCs w:val="24"/>
        </w:rPr>
        <w:t xml:space="preserve"> </w:t>
      </w:r>
      <w:r w:rsidRPr="00B417C7">
        <w:rPr>
          <w:rFonts w:ascii="Times New Roman" w:hAnsi="Times New Roman" w:cs="Times New Roman"/>
          <w:color w:val="auto"/>
          <w:sz w:val="24"/>
          <w:szCs w:val="24"/>
        </w:rPr>
        <w:t>distribution</w:t>
      </w:r>
      <w:r w:rsidR="00F1293B">
        <w:rPr>
          <w:rFonts w:ascii="Times New Roman" w:hAnsi="Times New Roman" w:cs="Times New Roman"/>
          <w:color w:val="auto"/>
          <w:sz w:val="24"/>
          <w:szCs w:val="24"/>
        </w:rPr>
        <w:t>.</w:t>
      </w:r>
      <w:r w:rsidRPr="00B417C7">
        <w:rPr>
          <w:rFonts w:ascii="Times New Roman" w:hAnsi="Times New Roman" w:cs="Times New Roman"/>
          <w:color w:val="auto"/>
          <w:sz w:val="24"/>
          <w:szCs w:val="24"/>
        </w:rPr>
        <w:t xml:space="preserve"> Results are reported from the analysis of 39 male </w:t>
      </w:r>
      <w:proofErr w:type="spellStart"/>
      <w:r w:rsidRPr="00B417C7">
        <w:rPr>
          <w:rFonts w:ascii="Times New Roman" w:hAnsi="Times New Roman" w:cs="Times New Roman"/>
          <w:i/>
          <w:iCs/>
          <w:color w:val="auto"/>
          <w:sz w:val="24"/>
          <w:szCs w:val="24"/>
        </w:rPr>
        <w:t>Leptuca</w:t>
      </w:r>
      <w:proofErr w:type="spellEnd"/>
      <w:r w:rsidRPr="00B417C7">
        <w:rPr>
          <w:rFonts w:ascii="Times New Roman" w:hAnsi="Times New Roman" w:cs="Times New Roman"/>
          <w:i/>
          <w:iCs/>
          <w:color w:val="auto"/>
          <w:sz w:val="24"/>
          <w:szCs w:val="24"/>
        </w:rPr>
        <w:t xml:space="preserve"> </w:t>
      </w:r>
      <w:proofErr w:type="spellStart"/>
      <w:r w:rsidRPr="00B417C7">
        <w:rPr>
          <w:rFonts w:ascii="Times New Roman" w:hAnsi="Times New Roman" w:cs="Times New Roman"/>
          <w:i/>
          <w:iCs/>
          <w:color w:val="auto"/>
          <w:sz w:val="24"/>
          <w:szCs w:val="24"/>
        </w:rPr>
        <w:t>uraguayensis</w:t>
      </w:r>
      <w:proofErr w:type="spellEnd"/>
      <w:r w:rsidRPr="00B417C7">
        <w:rPr>
          <w:rFonts w:ascii="Times New Roman" w:hAnsi="Times New Roman" w:cs="Times New Roman"/>
          <w:color w:val="auto"/>
          <w:sz w:val="24"/>
          <w:szCs w:val="24"/>
        </w:rPr>
        <w:t xml:space="preserve"> claws. Formulas presented in the table are in the following format: Dependent variable ~ independent variable, the tilde denotes that the dependent variable is in function of the independent variables. Significant effects are bolded.</w:t>
      </w:r>
    </w:p>
    <w:tbl>
      <w:tblPr>
        <w:tblStyle w:val="TableGrid"/>
        <w:tblW w:w="4936" w:type="pct"/>
        <w:shd w:val="clear" w:color="auto" w:fill="FFFFFF" w:themeFill="background1"/>
        <w:tblLayout w:type="fixed"/>
        <w:tblLook w:val="04A0" w:firstRow="1" w:lastRow="0" w:firstColumn="1" w:lastColumn="0" w:noHBand="0" w:noVBand="1"/>
      </w:tblPr>
      <w:tblGrid>
        <w:gridCol w:w="5670"/>
        <w:gridCol w:w="1699"/>
        <w:gridCol w:w="1845"/>
        <w:gridCol w:w="1382"/>
        <w:gridCol w:w="2198"/>
      </w:tblGrid>
      <w:tr w:rsidR="00F536DE" w:rsidRPr="007F1451" w14:paraId="4DFFE8E3" w14:textId="77777777" w:rsidTr="005D2F8C">
        <w:trPr>
          <w:trHeight w:val="355"/>
        </w:trPr>
        <w:tc>
          <w:tcPr>
            <w:tcW w:w="2216" w:type="pct"/>
            <w:tcBorders>
              <w:top w:val="single" w:sz="4" w:space="0" w:color="auto"/>
              <w:left w:val="nil"/>
              <w:bottom w:val="single" w:sz="4" w:space="0" w:color="auto"/>
              <w:right w:val="nil"/>
            </w:tcBorders>
            <w:shd w:val="clear" w:color="auto" w:fill="FFFFFF" w:themeFill="background1"/>
          </w:tcPr>
          <w:p w14:paraId="77C93D67" w14:textId="77777777" w:rsidR="00F536DE" w:rsidRPr="007F1451" w:rsidRDefault="00F536DE" w:rsidP="00BB6ED1">
            <w:pPr>
              <w:spacing w:line="480" w:lineRule="auto"/>
              <w:rPr>
                <w:rFonts w:ascii="Times New Roman" w:hAnsi="Times New Roman" w:cs="Times New Roman"/>
                <w:b/>
                <w:bCs/>
                <w:sz w:val="24"/>
                <w:szCs w:val="24"/>
              </w:rPr>
            </w:pPr>
            <w:r w:rsidRPr="007F1451">
              <w:rPr>
                <w:rFonts w:ascii="Times New Roman" w:hAnsi="Times New Roman" w:cs="Times New Roman"/>
                <w:b/>
                <w:bCs/>
                <w:sz w:val="24"/>
                <w:szCs w:val="24"/>
              </w:rPr>
              <w:t xml:space="preserve">Model (formula: </w:t>
            </w:r>
            <w:r w:rsidRPr="007F1451">
              <w:rPr>
                <w:rFonts w:ascii="Times New Roman" w:hAnsi="Times New Roman" w:cs="Times New Roman"/>
                <w:b/>
                <w:bCs/>
                <w:i/>
                <w:iCs/>
                <w:sz w:val="24"/>
                <w:szCs w:val="24"/>
              </w:rPr>
              <w:t>y</w:t>
            </w:r>
            <w:r w:rsidRPr="007F1451">
              <w:rPr>
                <w:rFonts w:ascii="Times New Roman" w:hAnsi="Times New Roman" w:cs="Times New Roman"/>
                <w:b/>
                <w:bCs/>
                <w:sz w:val="24"/>
                <w:szCs w:val="24"/>
              </w:rPr>
              <w:t xml:space="preserve"> ~ </w:t>
            </w:r>
            <w:r w:rsidRPr="007F1451">
              <w:rPr>
                <w:rFonts w:ascii="Times New Roman" w:hAnsi="Times New Roman" w:cs="Times New Roman"/>
                <w:b/>
                <w:bCs/>
                <w:i/>
                <w:iCs/>
                <w:sz w:val="24"/>
                <w:szCs w:val="24"/>
              </w:rPr>
              <w:t>x</w:t>
            </w:r>
            <w:r w:rsidRPr="007F1451">
              <w:rPr>
                <w:rFonts w:ascii="Times New Roman" w:hAnsi="Times New Roman" w:cs="Times New Roman"/>
                <w:b/>
                <w:bCs/>
                <w:sz w:val="24"/>
                <w:szCs w:val="24"/>
              </w:rPr>
              <w:t>)</w:t>
            </w:r>
          </w:p>
        </w:tc>
        <w:tc>
          <w:tcPr>
            <w:tcW w:w="2784" w:type="pct"/>
            <w:gridSpan w:val="4"/>
            <w:tcBorders>
              <w:top w:val="single" w:sz="4" w:space="0" w:color="auto"/>
              <w:left w:val="nil"/>
              <w:bottom w:val="single" w:sz="4" w:space="0" w:color="auto"/>
              <w:right w:val="nil"/>
            </w:tcBorders>
            <w:shd w:val="clear" w:color="auto" w:fill="FFFFFF" w:themeFill="background1"/>
          </w:tcPr>
          <w:p w14:paraId="7E459206" w14:textId="77777777" w:rsidR="00F536DE" w:rsidRPr="007F1451" w:rsidRDefault="00F536DE" w:rsidP="00BB6ED1">
            <w:pPr>
              <w:spacing w:line="480" w:lineRule="auto"/>
              <w:rPr>
                <w:rFonts w:ascii="Times New Roman" w:hAnsi="Times New Roman" w:cs="Times New Roman"/>
                <w:b/>
                <w:bCs/>
                <w:sz w:val="24"/>
                <w:szCs w:val="24"/>
              </w:rPr>
            </w:pPr>
            <w:r w:rsidRPr="007F1451">
              <w:rPr>
                <w:rFonts w:ascii="Times New Roman" w:hAnsi="Times New Roman" w:cs="Times New Roman"/>
                <w:b/>
                <w:bCs/>
                <w:sz w:val="24"/>
                <w:szCs w:val="24"/>
              </w:rPr>
              <w:t>Red</w:t>
            </w:r>
          </w:p>
        </w:tc>
      </w:tr>
      <w:tr w:rsidR="00F536DE" w:rsidRPr="007F1451" w14:paraId="72EEF5AE" w14:textId="77777777" w:rsidTr="005D2F8C">
        <w:trPr>
          <w:trHeight w:val="292"/>
        </w:trPr>
        <w:tc>
          <w:tcPr>
            <w:tcW w:w="2216" w:type="pct"/>
            <w:tcBorders>
              <w:top w:val="single" w:sz="4" w:space="0" w:color="auto"/>
              <w:left w:val="nil"/>
              <w:bottom w:val="nil"/>
              <w:right w:val="nil"/>
            </w:tcBorders>
            <w:shd w:val="clear" w:color="auto" w:fill="FFFFFF" w:themeFill="background1"/>
          </w:tcPr>
          <w:p w14:paraId="6D963E47"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 xml:space="preserve">           </w:t>
            </w:r>
          </w:p>
        </w:tc>
        <w:tc>
          <w:tcPr>
            <w:tcW w:w="664" w:type="pct"/>
            <w:tcBorders>
              <w:top w:val="single" w:sz="4" w:space="0" w:color="auto"/>
              <w:left w:val="nil"/>
              <w:bottom w:val="nil"/>
              <w:right w:val="nil"/>
            </w:tcBorders>
            <w:shd w:val="clear" w:color="auto" w:fill="FFFFFF" w:themeFill="background1"/>
          </w:tcPr>
          <w:p w14:paraId="37E026A0"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Estimate (β)</w:t>
            </w:r>
          </w:p>
        </w:tc>
        <w:tc>
          <w:tcPr>
            <w:tcW w:w="721" w:type="pct"/>
            <w:tcBorders>
              <w:top w:val="single" w:sz="4" w:space="0" w:color="auto"/>
              <w:left w:val="nil"/>
              <w:bottom w:val="nil"/>
              <w:right w:val="nil"/>
            </w:tcBorders>
            <w:shd w:val="clear" w:color="auto" w:fill="FFFFFF" w:themeFill="background1"/>
          </w:tcPr>
          <w:p w14:paraId="2D369348"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SE</w:t>
            </w:r>
          </w:p>
        </w:tc>
        <w:tc>
          <w:tcPr>
            <w:tcW w:w="540" w:type="pct"/>
            <w:tcBorders>
              <w:top w:val="single" w:sz="4" w:space="0" w:color="auto"/>
              <w:left w:val="nil"/>
              <w:bottom w:val="nil"/>
              <w:right w:val="nil"/>
            </w:tcBorders>
            <w:shd w:val="clear" w:color="auto" w:fill="FFFFFF" w:themeFill="background1"/>
          </w:tcPr>
          <w:p w14:paraId="21BCEBC1" w14:textId="37E2D7DB"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z</w:t>
            </w:r>
            <w:r w:rsidR="00F536DE" w:rsidRPr="007F1451">
              <w:rPr>
                <w:rFonts w:ascii="Times New Roman" w:hAnsi="Times New Roman" w:cs="Times New Roman"/>
                <w:sz w:val="24"/>
                <w:szCs w:val="24"/>
              </w:rPr>
              <w:t>-value</w:t>
            </w:r>
          </w:p>
        </w:tc>
        <w:tc>
          <w:tcPr>
            <w:tcW w:w="859" w:type="pct"/>
            <w:tcBorders>
              <w:top w:val="single" w:sz="4" w:space="0" w:color="auto"/>
              <w:left w:val="nil"/>
              <w:bottom w:val="nil"/>
              <w:right w:val="nil"/>
            </w:tcBorders>
            <w:shd w:val="clear" w:color="auto" w:fill="FFFFFF" w:themeFill="background1"/>
          </w:tcPr>
          <w:p w14:paraId="67AD003C" w14:textId="77777777" w:rsidR="00F536DE" w:rsidRPr="007F1451" w:rsidRDefault="00F536DE" w:rsidP="00BB6ED1">
            <w:pPr>
              <w:spacing w:line="480" w:lineRule="auto"/>
              <w:rPr>
                <w:rFonts w:ascii="Times New Roman" w:hAnsi="Times New Roman" w:cs="Times New Roman"/>
                <w:i/>
                <w:iCs/>
                <w:sz w:val="24"/>
                <w:szCs w:val="24"/>
              </w:rPr>
            </w:pPr>
            <w:r w:rsidRPr="007F1451">
              <w:rPr>
                <w:rFonts w:ascii="Times New Roman" w:hAnsi="Times New Roman" w:cs="Times New Roman"/>
                <w:i/>
                <w:iCs/>
                <w:sz w:val="24"/>
                <w:szCs w:val="24"/>
              </w:rPr>
              <w:t>p-value</w:t>
            </w:r>
          </w:p>
        </w:tc>
      </w:tr>
      <w:tr w:rsidR="00F536DE" w:rsidRPr="007F1451" w14:paraId="322B5C79" w14:textId="77777777" w:rsidTr="005D2F8C">
        <w:trPr>
          <w:trHeight w:val="368"/>
        </w:trPr>
        <w:tc>
          <w:tcPr>
            <w:tcW w:w="2216" w:type="pct"/>
            <w:tcBorders>
              <w:top w:val="nil"/>
              <w:left w:val="nil"/>
              <w:bottom w:val="nil"/>
              <w:right w:val="nil"/>
            </w:tcBorders>
            <w:shd w:val="clear" w:color="auto" w:fill="FFFFFF" w:themeFill="background1"/>
          </w:tcPr>
          <w:p w14:paraId="54540607"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(a) Percent red reflectance ~ carapace width</w:t>
            </w:r>
          </w:p>
        </w:tc>
        <w:tc>
          <w:tcPr>
            <w:tcW w:w="664" w:type="pct"/>
            <w:tcBorders>
              <w:top w:val="nil"/>
              <w:left w:val="nil"/>
              <w:bottom w:val="nil"/>
              <w:right w:val="nil"/>
            </w:tcBorders>
            <w:shd w:val="clear" w:color="auto" w:fill="FFFFFF" w:themeFill="background1"/>
          </w:tcPr>
          <w:p w14:paraId="36781116" w14:textId="6B03688E"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0.543</w:t>
            </w:r>
          </w:p>
        </w:tc>
        <w:tc>
          <w:tcPr>
            <w:tcW w:w="721" w:type="pct"/>
            <w:tcBorders>
              <w:top w:val="nil"/>
              <w:left w:val="nil"/>
              <w:bottom w:val="nil"/>
              <w:right w:val="nil"/>
            </w:tcBorders>
            <w:shd w:val="clear" w:color="auto" w:fill="FFFFFF" w:themeFill="background1"/>
          </w:tcPr>
          <w:p w14:paraId="37344AF7" w14:textId="324DA062"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0.505</w:t>
            </w:r>
          </w:p>
        </w:tc>
        <w:tc>
          <w:tcPr>
            <w:tcW w:w="540" w:type="pct"/>
            <w:tcBorders>
              <w:top w:val="nil"/>
              <w:left w:val="nil"/>
              <w:bottom w:val="nil"/>
              <w:right w:val="nil"/>
            </w:tcBorders>
            <w:shd w:val="clear" w:color="auto" w:fill="FFFFFF" w:themeFill="background1"/>
          </w:tcPr>
          <w:p w14:paraId="6C2CB4A1" w14:textId="1F960CC3"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1.076</w:t>
            </w:r>
          </w:p>
        </w:tc>
        <w:tc>
          <w:tcPr>
            <w:tcW w:w="859" w:type="pct"/>
            <w:tcBorders>
              <w:top w:val="nil"/>
              <w:left w:val="nil"/>
              <w:bottom w:val="nil"/>
              <w:right w:val="nil"/>
            </w:tcBorders>
            <w:shd w:val="clear" w:color="auto" w:fill="FFFFFF" w:themeFill="background1"/>
          </w:tcPr>
          <w:p w14:paraId="0A1A6899" w14:textId="1EA1101E"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sidR="00F1293B">
              <w:rPr>
                <w:rFonts w:ascii="Times New Roman" w:hAnsi="Times New Roman" w:cs="Times New Roman"/>
                <w:sz w:val="24"/>
                <w:szCs w:val="24"/>
              </w:rPr>
              <w:t>282</w:t>
            </w:r>
          </w:p>
        </w:tc>
      </w:tr>
      <w:tr w:rsidR="00F536DE" w:rsidRPr="007F1451" w14:paraId="0921F18F" w14:textId="77777777" w:rsidTr="005D2F8C">
        <w:trPr>
          <w:trHeight w:val="247"/>
        </w:trPr>
        <w:tc>
          <w:tcPr>
            <w:tcW w:w="2216" w:type="pct"/>
            <w:tcBorders>
              <w:top w:val="nil"/>
              <w:left w:val="nil"/>
              <w:bottom w:val="nil"/>
              <w:right w:val="nil"/>
            </w:tcBorders>
            <w:shd w:val="clear" w:color="auto" w:fill="D9D9D9" w:themeFill="background1" w:themeFillShade="D9"/>
          </w:tcPr>
          <w:p w14:paraId="44874BD9"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(b) Percent red reflectance ~ claw length</w:t>
            </w:r>
          </w:p>
        </w:tc>
        <w:tc>
          <w:tcPr>
            <w:tcW w:w="664" w:type="pct"/>
            <w:tcBorders>
              <w:top w:val="nil"/>
              <w:left w:val="nil"/>
              <w:bottom w:val="nil"/>
              <w:right w:val="nil"/>
            </w:tcBorders>
            <w:shd w:val="clear" w:color="auto" w:fill="D9D9D9" w:themeFill="background1" w:themeFillShade="D9"/>
          </w:tcPr>
          <w:p w14:paraId="5C625ED4" w14:textId="2F475C04"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0.098</w:t>
            </w:r>
            <w:r w:rsidR="00F536DE" w:rsidRPr="007F1451">
              <w:rPr>
                <w:rFonts w:ascii="Times New Roman" w:hAnsi="Times New Roman" w:cs="Times New Roman"/>
                <w:sz w:val="24"/>
                <w:szCs w:val="24"/>
              </w:rPr>
              <w:t xml:space="preserve"> </w:t>
            </w:r>
          </w:p>
        </w:tc>
        <w:tc>
          <w:tcPr>
            <w:tcW w:w="721" w:type="pct"/>
            <w:tcBorders>
              <w:top w:val="nil"/>
              <w:left w:val="nil"/>
              <w:bottom w:val="nil"/>
              <w:right w:val="nil"/>
            </w:tcBorders>
            <w:shd w:val="clear" w:color="auto" w:fill="D9D9D9" w:themeFill="background1" w:themeFillShade="D9"/>
          </w:tcPr>
          <w:p w14:paraId="44DCC6F4" w14:textId="305DF9A7"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0.194</w:t>
            </w:r>
          </w:p>
        </w:tc>
        <w:tc>
          <w:tcPr>
            <w:tcW w:w="540" w:type="pct"/>
            <w:tcBorders>
              <w:top w:val="nil"/>
              <w:left w:val="nil"/>
              <w:bottom w:val="nil"/>
              <w:right w:val="nil"/>
            </w:tcBorders>
            <w:shd w:val="clear" w:color="auto" w:fill="D9D9D9" w:themeFill="background1" w:themeFillShade="D9"/>
          </w:tcPr>
          <w:p w14:paraId="64C9539B" w14:textId="09CE4BFF"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sidR="00F1293B">
              <w:rPr>
                <w:rFonts w:ascii="Times New Roman" w:hAnsi="Times New Roman" w:cs="Times New Roman"/>
                <w:sz w:val="24"/>
                <w:szCs w:val="24"/>
              </w:rPr>
              <w:t>507</w:t>
            </w:r>
          </w:p>
        </w:tc>
        <w:tc>
          <w:tcPr>
            <w:tcW w:w="859" w:type="pct"/>
            <w:tcBorders>
              <w:top w:val="nil"/>
              <w:left w:val="nil"/>
              <w:bottom w:val="nil"/>
              <w:right w:val="nil"/>
            </w:tcBorders>
            <w:shd w:val="clear" w:color="auto" w:fill="D9D9D9" w:themeFill="background1" w:themeFillShade="D9"/>
          </w:tcPr>
          <w:p w14:paraId="1A9960C4" w14:textId="3861FFB6"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sidR="00F1293B">
              <w:rPr>
                <w:rFonts w:ascii="Times New Roman" w:hAnsi="Times New Roman" w:cs="Times New Roman"/>
                <w:sz w:val="24"/>
                <w:szCs w:val="24"/>
              </w:rPr>
              <w:t>612</w:t>
            </w:r>
          </w:p>
        </w:tc>
      </w:tr>
      <w:tr w:rsidR="00F536DE" w:rsidRPr="007F1451" w14:paraId="32187954" w14:textId="77777777" w:rsidTr="005D2F8C">
        <w:trPr>
          <w:trHeight w:val="414"/>
        </w:trPr>
        <w:tc>
          <w:tcPr>
            <w:tcW w:w="2216" w:type="pct"/>
            <w:tcBorders>
              <w:top w:val="nil"/>
              <w:left w:val="nil"/>
              <w:bottom w:val="nil"/>
              <w:right w:val="nil"/>
            </w:tcBorders>
            <w:shd w:val="clear" w:color="auto" w:fill="FFFFFF" w:themeFill="background1"/>
          </w:tcPr>
          <w:p w14:paraId="763CB0D2"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(c) Percent red reflectance ~ muscle weight</w:t>
            </w:r>
          </w:p>
        </w:tc>
        <w:tc>
          <w:tcPr>
            <w:tcW w:w="664" w:type="pct"/>
            <w:tcBorders>
              <w:top w:val="nil"/>
              <w:left w:val="nil"/>
              <w:bottom w:val="nil"/>
              <w:right w:val="nil"/>
            </w:tcBorders>
            <w:shd w:val="clear" w:color="auto" w:fill="FFFFFF" w:themeFill="background1"/>
          </w:tcPr>
          <w:p w14:paraId="11585922" w14:textId="340525D9"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6.177</w:t>
            </w:r>
          </w:p>
        </w:tc>
        <w:tc>
          <w:tcPr>
            <w:tcW w:w="721" w:type="pct"/>
            <w:tcBorders>
              <w:top w:val="nil"/>
              <w:left w:val="nil"/>
              <w:bottom w:val="nil"/>
              <w:right w:val="nil"/>
            </w:tcBorders>
            <w:shd w:val="clear" w:color="auto" w:fill="FFFFFF" w:themeFill="background1"/>
          </w:tcPr>
          <w:p w14:paraId="0560361C" w14:textId="076A15BB"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21.524</w:t>
            </w:r>
          </w:p>
        </w:tc>
        <w:tc>
          <w:tcPr>
            <w:tcW w:w="540" w:type="pct"/>
            <w:tcBorders>
              <w:top w:val="nil"/>
              <w:left w:val="nil"/>
              <w:bottom w:val="nil"/>
              <w:right w:val="nil"/>
            </w:tcBorders>
            <w:shd w:val="clear" w:color="auto" w:fill="FFFFFF" w:themeFill="background1"/>
          </w:tcPr>
          <w:p w14:paraId="570891F5" w14:textId="56177E10" w:rsidR="00F536DE" w:rsidRPr="007F1451" w:rsidRDefault="00F536DE" w:rsidP="00BB6ED1">
            <w:pPr>
              <w:spacing w:line="480" w:lineRule="auto"/>
              <w:rPr>
                <w:rFonts w:ascii="Times New Roman" w:hAnsi="Times New Roman" w:cs="Times New Roman"/>
                <w:sz w:val="24"/>
                <w:szCs w:val="24"/>
              </w:rPr>
            </w:pPr>
            <w:r>
              <w:rPr>
                <w:rFonts w:ascii="Times New Roman" w:hAnsi="Times New Roman" w:cs="Times New Roman"/>
                <w:sz w:val="24"/>
                <w:szCs w:val="24"/>
              </w:rPr>
              <w:t>0.2</w:t>
            </w:r>
            <w:r w:rsidR="00F1293B">
              <w:rPr>
                <w:rFonts w:ascii="Times New Roman" w:hAnsi="Times New Roman" w:cs="Times New Roman"/>
                <w:sz w:val="24"/>
                <w:szCs w:val="24"/>
              </w:rPr>
              <w:t>8</w:t>
            </w:r>
            <w:r>
              <w:rPr>
                <w:rFonts w:ascii="Times New Roman" w:hAnsi="Times New Roman" w:cs="Times New Roman"/>
                <w:sz w:val="24"/>
                <w:szCs w:val="24"/>
              </w:rPr>
              <w:t>7</w:t>
            </w:r>
          </w:p>
        </w:tc>
        <w:tc>
          <w:tcPr>
            <w:tcW w:w="859" w:type="pct"/>
            <w:tcBorders>
              <w:top w:val="nil"/>
              <w:left w:val="nil"/>
              <w:bottom w:val="nil"/>
              <w:right w:val="nil"/>
            </w:tcBorders>
            <w:shd w:val="clear" w:color="auto" w:fill="FFFFFF" w:themeFill="background1"/>
          </w:tcPr>
          <w:p w14:paraId="7ED45046" w14:textId="2A694BF3"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sidR="00F1293B">
              <w:rPr>
                <w:rFonts w:ascii="Times New Roman" w:hAnsi="Times New Roman" w:cs="Times New Roman"/>
                <w:sz w:val="24"/>
                <w:szCs w:val="24"/>
              </w:rPr>
              <w:t>774</w:t>
            </w:r>
          </w:p>
        </w:tc>
      </w:tr>
      <w:tr w:rsidR="00F536DE" w:rsidRPr="007F1451" w14:paraId="6C17B39C" w14:textId="77777777" w:rsidTr="005D2F8C">
        <w:trPr>
          <w:trHeight w:val="293"/>
        </w:trPr>
        <w:tc>
          <w:tcPr>
            <w:tcW w:w="2216" w:type="pct"/>
            <w:tcBorders>
              <w:top w:val="nil"/>
              <w:left w:val="nil"/>
              <w:bottom w:val="single" w:sz="4" w:space="0" w:color="auto"/>
              <w:right w:val="nil"/>
            </w:tcBorders>
            <w:shd w:val="clear" w:color="auto" w:fill="D9D9D9" w:themeFill="background1" w:themeFillShade="D9"/>
          </w:tcPr>
          <w:p w14:paraId="6FF35491"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(d) Percent red reflectance ~ lipid content in body</w:t>
            </w:r>
          </w:p>
        </w:tc>
        <w:tc>
          <w:tcPr>
            <w:tcW w:w="664" w:type="pct"/>
            <w:tcBorders>
              <w:top w:val="nil"/>
              <w:left w:val="nil"/>
              <w:bottom w:val="single" w:sz="4" w:space="0" w:color="auto"/>
              <w:right w:val="nil"/>
            </w:tcBorders>
            <w:shd w:val="clear" w:color="auto" w:fill="D9D9D9" w:themeFill="background1" w:themeFillShade="D9"/>
          </w:tcPr>
          <w:p w14:paraId="650042B3" w14:textId="2C725139" w:rsidR="00F536DE" w:rsidRPr="007F1451" w:rsidRDefault="00F536DE" w:rsidP="00BB6ED1">
            <w:pPr>
              <w:spacing w:line="480" w:lineRule="auto"/>
              <w:rPr>
                <w:rFonts w:ascii="Times New Roman" w:hAnsi="Times New Roman" w:cs="Times New Roman"/>
                <w:sz w:val="24"/>
                <w:szCs w:val="24"/>
              </w:rPr>
            </w:pPr>
            <w:r>
              <w:rPr>
                <w:rFonts w:ascii="Times New Roman" w:hAnsi="Times New Roman" w:cs="Times New Roman"/>
                <w:sz w:val="24"/>
                <w:szCs w:val="24"/>
              </w:rPr>
              <w:t>-0.0</w:t>
            </w:r>
            <w:r w:rsidR="00F1293B">
              <w:rPr>
                <w:rFonts w:ascii="Times New Roman" w:hAnsi="Times New Roman" w:cs="Times New Roman"/>
                <w:sz w:val="24"/>
                <w:szCs w:val="24"/>
              </w:rPr>
              <w:t>79</w:t>
            </w:r>
          </w:p>
        </w:tc>
        <w:tc>
          <w:tcPr>
            <w:tcW w:w="721" w:type="pct"/>
            <w:tcBorders>
              <w:top w:val="nil"/>
              <w:left w:val="nil"/>
              <w:bottom w:val="single" w:sz="4" w:space="0" w:color="auto"/>
              <w:right w:val="nil"/>
            </w:tcBorders>
            <w:shd w:val="clear" w:color="auto" w:fill="D9D9D9" w:themeFill="background1" w:themeFillShade="D9"/>
          </w:tcPr>
          <w:p w14:paraId="560BA8F7" w14:textId="4A2FCABA"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Pr>
                <w:rFonts w:ascii="Times New Roman" w:hAnsi="Times New Roman" w:cs="Times New Roman"/>
                <w:sz w:val="24"/>
                <w:szCs w:val="24"/>
              </w:rPr>
              <w:t>0</w:t>
            </w:r>
            <w:r w:rsidR="00F1293B">
              <w:rPr>
                <w:rFonts w:ascii="Times New Roman" w:hAnsi="Times New Roman" w:cs="Times New Roman"/>
                <w:sz w:val="24"/>
                <w:szCs w:val="24"/>
              </w:rPr>
              <w:t>65</w:t>
            </w:r>
          </w:p>
        </w:tc>
        <w:tc>
          <w:tcPr>
            <w:tcW w:w="540" w:type="pct"/>
            <w:tcBorders>
              <w:top w:val="nil"/>
              <w:left w:val="nil"/>
              <w:bottom w:val="single" w:sz="4" w:space="0" w:color="auto"/>
              <w:right w:val="nil"/>
            </w:tcBorders>
            <w:shd w:val="clear" w:color="auto" w:fill="D9D9D9" w:themeFill="background1" w:themeFillShade="D9"/>
          </w:tcPr>
          <w:p w14:paraId="185DE0B4" w14:textId="21D9BA48" w:rsidR="00F536DE" w:rsidRPr="007F1451" w:rsidRDefault="00F536DE" w:rsidP="00BB6ED1">
            <w:pPr>
              <w:spacing w:line="480" w:lineRule="auto"/>
              <w:rPr>
                <w:rFonts w:ascii="Times New Roman" w:hAnsi="Times New Roman" w:cs="Times New Roman"/>
                <w:sz w:val="24"/>
                <w:szCs w:val="24"/>
              </w:rPr>
            </w:pPr>
            <w:r>
              <w:rPr>
                <w:rFonts w:ascii="Times New Roman" w:hAnsi="Times New Roman" w:cs="Times New Roman"/>
                <w:sz w:val="24"/>
                <w:szCs w:val="24"/>
              </w:rPr>
              <w:t>-1.</w:t>
            </w:r>
            <w:r w:rsidR="00F1293B">
              <w:rPr>
                <w:rFonts w:ascii="Times New Roman" w:hAnsi="Times New Roman" w:cs="Times New Roman"/>
                <w:sz w:val="24"/>
                <w:szCs w:val="24"/>
              </w:rPr>
              <w:t>200</w:t>
            </w:r>
          </w:p>
        </w:tc>
        <w:tc>
          <w:tcPr>
            <w:tcW w:w="859" w:type="pct"/>
            <w:tcBorders>
              <w:top w:val="nil"/>
              <w:left w:val="nil"/>
              <w:bottom w:val="single" w:sz="4" w:space="0" w:color="auto"/>
              <w:right w:val="nil"/>
            </w:tcBorders>
            <w:shd w:val="clear" w:color="auto" w:fill="D9D9D9" w:themeFill="background1" w:themeFillShade="D9"/>
          </w:tcPr>
          <w:p w14:paraId="64820C1D" w14:textId="0C0ECD8B"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sidR="00F1293B">
              <w:rPr>
                <w:rFonts w:ascii="Times New Roman" w:hAnsi="Times New Roman" w:cs="Times New Roman"/>
                <w:sz w:val="24"/>
                <w:szCs w:val="24"/>
              </w:rPr>
              <w:t>23</w:t>
            </w:r>
          </w:p>
        </w:tc>
      </w:tr>
      <w:tr w:rsidR="00F536DE" w:rsidRPr="007F1451" w14:paraId="1A289820" w14:textId="77777777" w:rsidTr="006139B2">
        <w:trPr>
          <w:trHeight w:val="275"/>
        </w:trPr>
        <w:tc>
          <w:tcPr>
            <w:tcW w:w="2216" w:type="pct"/>
            <w:tcBorders>
              <w:top w:val="single" w:sz="4" w:space="0" w:color="auto"/>
              <w:left w:val="nil"/>
              <w:bottom w:val="single" w:sz="4" w:space="0" w:color="auto"/>
              <w:right w:val="nil"/>
            </w:tcBorders>
            <w:shd w:val="clear" w:color="auto" w:fill="FFFFFF" w:themeFill="background1"/>
          </w:tcPr>
          <w:p w14:paraId="64526A45" w14:textId="77777777" w:rsidR="00F536DE" w:rsidRPr="007F1451" w:rsidRDefault="00F536DE" w:rsidP="00BB6ED1">
            <w:pPr>
              <w:spacing w:line="480" w:lineRule="auto"/>
              <w:rPr>
                <w:rFonts w:ascii="Times New Roman" w:hAnsi="Times New Roman" w:cs="Times New Roman"/>
                <w:sz w:val="24"/>
                <w:szCs w:val="24"/>
              </w:rPr>
            </w:pPr>
          </w:p>
        </w:tc>
        <w:tc>
          <w:tcPr>
            <w:tcW w:w="2784" w:type="pct"/>
            <w:gridSpan w:val="4"/>
            <w:tcBorders>
              <w:top w:val="single" w:sz="4" w:space="0" w:color="auto"/>
              <w:left w:val="nil"/>
              <w:bottom w:val="single" w:sz="4" w:space="0" w:color="auto"/>
              <w:right w:val="nil"/>
            </w:tcBorders>
            <w:shd w:val="clear" w:color="auto" w:fill="FFFFFF" w:themeFill="background1"/>
          </w:tcPr>
          <w:p w14:paraId="48C3C9FC" w14:textId="77777777" w:rsidR="00F536DE" w:rsidRPr="007F1451" w:rsidRDefault="00F536DE" w:rsidP="00BB6ED1">
            <w:pPr>
              <w:spacing w:line="480" w:lineRule="auto"/>
              <w:rPr>
                <w:rFonts w:ascii="Times New Roman" w:hAnsi="Times New Roman" w:cs="Times New Roman"/>
                <w:b/>
                <w:bCs/>
                <w:sz w:val="24"/>
                <w:szCs w:val="24"/>
              </w:rPr>
            </w:pPr>
            <w:r w:rsidRPr="007F1451">
              <w:rPr>
                <w:rFonts w:ascii="Times New Roman" w:hAnsi="Times New Roman" w:cs="Times New Roman"/>
                <w:b/>
                <w:bCs/>
                <w:sz w:val="24"/>
                <w:szCs w:val="24"/>
              </w:rPr>
              <w:t>Blue</w:t>
            </w:r>
          </w:p>
        </w:tc>
      </w:tr>
      <w:tr w:rsidR="00F536DE" w:rsidRPr="007F1451" w14:paraId="0F55E8A6" w14:textId="77777777" w:rsidTr="005D2F8C">
        <w:trPr>
          <w:trHeight w:val="441"/>
        </w:trPr>
        <w:tc>
          <w:tcPr>
            <w:tcW w:w="2216" w:type="pct"/>
            <w:tcBorders>
              <w:top w:val="single" w:sz="4" w:space="0" w:color="auto"/>
              <w:left w:val="nil"/>
              <w:bottom w:val="nil"/>
              <w:right w:val="nil"/>
            </w:tcBorders>
            <w:shd w:val="clear" w:color="auto" w:fill="FFFFFF" w:themeFill="background1"/>
          </w:tcPr>
          <w:p w14:paraId="2260B35B" w14:textId="77777777" w:rsidR="00F536DE" w:rsidRPr="007F1451" w:rsidRDefault="00F536DE" w:rsidP="00BB6ED1">
            <w:pPr>
              <w:spacing w:line="480" w:lineRule="auto"/>
              <w:rPr>
                <w:rFonts w:ascii="Times New Roman" w:hAnsi="Times New Roman" w:cs="Times New Roman"/>
                <w:sz w:val="24"/>
                <w:szCs w:val="24"/>
              </w:rPr>
            </w:pPr>
            <w:r w:rsidRPr="007F1451">
              <w:rPr>
                <w:rFonts w:ascii="Times New Roman" w:hAnsi="Times New Roman" w:cs="Times New Roman"/>
                <w:sz w:val="24"/>
                <w:szCs w:val="24"/>
              </w:rPr>
              <w:t>(e) Percent blue reflectance ~ carapace width</w:t>
            </w:r>
          </w:p>
        </w:tc>
        <w:tc>
          <w:tcPr>
            <w:tcW w:w="664" w:type="pct"/>
            <w:tcBorders>
              <w:top w:val="single" w:sz="4" w:space="0" w:color="auto"/>
              <w:left w:val="nil"/>
              <w:bottom w:val="nil"/>
              <w:right w:val="nil"/>
            </w:tcBorders>
            <w:shd w:val="clear" w:color="auto" w:fill="FFFFFF" w:themeFill="background1"/>
          </w:tcPr>
          <w:p w14:paraId="72CD7895" w14:textId="428AFC9C" w:rsidR="00F536DE" w:rsidRPr="007F1451" w:rsidDel="00BE59E9"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0.161</w:t>
            </w:r>
          </w:p>
        </w:tc>
        <w:tc>
          <w:tcPr>
            <w:tcW w:w="721" w:type="pct"/>
            <w:tcBorders>
              <w:top w:val="single" w:sz="4" w:space="0" w:color="auto"/>
              <w:left w:val="nil"/>
              <w:bottom w:val="nil"/>
              <w:right w:val="nil"/>
            </w:tcBorders>
            <w:shd w:val="clear" w:color="auto" w:fill="FFFFFF" w:themeFill="background1"/>
          </w:tcPr>
          <w:p w14:paraId="4F97D3C1" w14:textId="4BA314E5"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0.435</w:t>
            </w:r>
          </w:p>
        </w:tc>
        <w:tc>
          <w:tcPr>
            <w:tcW w:w="540" w:type="pct"/>
            <w:tcBorders>
              <w:top w:val="single" w:sz="4" w:space="0" w:color="auto"/>
              <w:left w:val="nil"/>
              <w:bottom w:val="nil"/>
              <w:right w:val="nil"/>
            </w:tcBorders>
            <w:shd w:val="clear" w:color="auto" w:fill="FFFFFF" w:themeFill="background1"/>
          </w:tcPr>
          <w:p w14:paraId="0EA3750C" w14:textId="2DBA5C98"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0.369</w:t>
            </w:r>
          </w:p>
        </w:tc>
        <w:tc>
          <w:tcPr>
            <w:tcW w:w="859" w:type="pct"/>
            <w:tcBorders>
              <w:top w:val="single" w:sz="4" w:space="0" w:color="auto"/>
              <w:left w:val="nil"/>
              <w:bottom w:val="nil"/>
              <w:right w:val="nil"/>
            </w:tcBorders>
            <w:shd w:val="clear" w:color="auto" w:fill="FFFFFF" w:themeFill="background1"/>
          </w:tcPr>
          <w:p w14:paraId="2FCE1059" w14:textId="4556D317" w:rsidR="00F536DE" w:rsidRPr="007F1451" w:rsidRDefault="00F1293B" w:rsidP="00BB6ED1">
            <w:pPr>
              <w:spacing w:line="480" w:lineRule="auto"/>
              <w:rPr>
                <w:rFonts w:ascii="Times New Roman" w:hAnsi="Times New Roman" w:cs="Times New Roman"/>
                <w:sz w:val="24"/>
                <w:szCs w:val="24"/>
              </w:rPr>
            </w:pPr>
            <w:r>
              <w:rPr>
                <w:rFonts w:ascii="Times New Roman" w:hAnsi="Times New Roman" w:cs="Times New Roman"/>
                <w:sz w:val="24"/>
                <w:szCs w:val="24"/>
              </w:rPr>
              <w:t>0.712</w:t>
            </w:r>
          </w:p>
        </w:tc>
      </w:tr>
      <w:tr w:rsidR="00F1293B" w:rsidRPr="007F1451" w14:paraId="3E172BFD" w14:textId="77777777" w:rsidTr="005D2F8C">
        <w:trPr>
          <w:trHeight w:val="419"/>
        </w:trPr>
        <w:tc>
          <w:tcPr>
            <w:tcW w:w="2216" w:type="pct"/>
            <w:tcBorders>
              <w:top w:val="nil"/>
              <w:left w:val="nil"/>
              <w:bottom w:val="nil"/>
              <w:right w:val="nil"/>
            </w:tcBorders>
            <w:shd w:val="clear" w:color="auto" w:fill="D9D9D9" w:themeFill="background1" w:themeFillShade="D9"/>
          </w:tcPr>
          <w:p w14:paraId="6DCAD243" w14:textId="77777777" w:rsidR="00F1293B" w:rsidRPr="007F1451" w:rsidRDefault="00F1293B" w:rsidP="00F1293B">
            <w:pPr>
              <w:spacing w:line="480" w:lineRule="auto"/>
              <w:rPr>
                <w:rFonts w:ascii="Times New Roman" w:hAnsi="Times New Roman" w:cs="Times New Roman"/>
                <w:sz w:val="24"/>
                <w:szCs w:val="24"/>
              </w:rPr>
            </w:pPr>
            <w:r w:rsidRPr="007F1451">
              <w:rPr>
                <w:rFonts w:ascii="Times New Roman" w:hAnsi="Times New Roman" w:cs="Times New Roman"/>
                <w:sz w:val="24"/>
                <w:szCs w:val="24"/>
              </w:rPr>
              <w:t>(f) Percent blue reflectance ~ c</w:t>
            </w:r>
            <w:r>
              <w:rPr>
                <w:rFonts w:ascii="Times New Roman" w:hAnsi="Times New Roman" w:cs="Times New Roman"/>
                <w:sz w:val="24"/>
                <w:szCs w:val="24"/>
              </w:rPr>
              <w:t>law</w:t>
            </w:r>
            <w:r w:rsidRPr="007F1451">
              <w:rPr>
                <w:rFonts w:ascii="Times New Roman" w:hAnsi="Times New Roman" w:cs="Times New Roman"/>
                <w:sz w:val="24"/>
                <w:szCs w:val="24"/>
              </w:rPr>
              <w:t xml:space="preserve"> </w:t>
            </w:r>
            <w:r>
              <w:rPr>
                <w:rFonts w:ascii="Times New Roman" w:hAnsi="Times New Roman" w:cs="Times New Roman"/>
                <w:sz w:val="24"/>
                <w:szCs w:val="24"/>
              </w:rPr>
              <w:t>length</w:t>
            </w:r>
          </w:p>
        </w:tc>
        <w:tc>
          <w:tcPr>
            <w:tcW w:w="664" w:type="pct"/>
            <w:tcBorders>
              <w:top w:val="nil"/>
              <w:left w:val="nil"/>
              <w:bottom w:val="nil"/>
              <w:right w:val="nil"/>
            </w:tcBorders>
            <w:shd w:val="clear" w:color="auto" w:fill="D9D9D9" w:themeFill="background1" w:themeFillShade="D9"/>
          </w:tcPr>
          <w:p w14:paraId="18F149C1" w14:textId="59EAE628" w:rsidR="00F1293B" w:rsidRPr="007F1451" w:rsidRDefault="00F1293B" w:rsidP="00F1293B">
            <w:pPr>
              <w:spacing w:line="480" w:lineRule="auto"/>
              <w:rPr>
                <w:rFonts w:ascii="Times New Roman" w:hAnsi="Times New Roman" w:cs="Times New Roman"/>
                <w:sz w:val="24"/>
                <w:szCs w:val="24"/>
              </w:rPr>
            </w:pPr>
            <w:r>
              <w:rPr>
                <w:rFonts w:ascii="Times New Roman" w:hAnsi="Times New Roman" w:cs="Times New Roman"/>
                <w:sz w:val="24"/>
                <w:szCs w:val="24"/>
              </w:rPr>
              <w:t>-0.064</w:t>
            </w:r>
          </w:p>
        </w:tc>
        <w:tc>
          <w:tcPr>
            <w:tcW w:w="721" w:type="pct"/>
            <w:tcBorders>
              <w:top w:val="nil"/>
              <w:left w:val="nil"/>
              <w:bottom w:val="nil"/>
              <w:right w:val="nil"/>
            </w:tcBorders>
            <w:shd w:val="clear" w:color="auto" w:fill="D9D9D9" w:themeFill="background1" w:themeFillShade="D9"/>
          </w:tcPr>
          <w:p w14:paraId="7BA73CDD" w14:textId="4F7BB100" w:rsidR="00F1293B" w:rsidRPr="007F1451" w:rsidRDefault="00F1293B" w:rsidP="00F1293B">
            <w:pPr>
              <w:spacing w:line="480" w:lineRule="auto"/>
              <w:rPr>
                <w:rFonts w:ascii="Times New Roman" w:hAnsi="Times New Roman" w:cs="Times New Roman"/>
                <w:sz w:val="24"/>
                <w:szCs w:val="24"/>
              </w:rPr>
            </w:pPr>
            <w:r>
              <w:rPr>
                <w:rFonts w:ascii="Times New Roman" w:hAnsi="Times New Roman" w:cs="Times New Roman"/>
                <w:sz w:val="24"/>
                <w:szCs w:val="24"/>
              </w:rPr>
              <w:t>0.164</w:t>
            </w:r>
          </w:p>
        </w:tc>
        <w:tc>
          <w:tcPr>
            <w:tcW w:w="540" w:type="pct"/>
            <w:tcBorders>
              <w:top w:val="nil"/>
              <w:left w:val="nil"/>
              <w:bottom w:val="nil"/>
              <w:right w:val="nil"/>
            </w:tcBorders>
            <w:shd w:val="clear" w:color="auto" w:fill="D9D9D9" w:themeFill="background1" w:themeFillShade="D9"/>
          </w:tcPr>
          <w:p w14:paraId="59D6DCA0" w14:textId="2F7ED305" w:rsidR="00F1293B" w:rsidRPr="007F1451" w:rsidRDefault="00F1293B" w:rsidP="00F1293B">
            <w:pPr>
              <w:spacing w:line="480" w:lineRule="auto"/>
              <w:rPr>
                <w:rFonts w:ascii="Times New Roman" w:hAnsi="Times New Roman" w:cs="Times New Roman"/>
                <w:sz w:val="24"/>
                <w:szCs w:val="24"/>
              </w:rPr>
            </w:pPr>
            <w:r>
              <w:rPr>
                <w:rFonts w:ascii="Times New Roman" w:hAnsi="Times New Roman" w:cs="Times New Roman"/>
                <w:sz w:val="24"/>
                <w:szCs w:val="24"/>
              </w:rPr>
              <w:t>-0.390</w:t>
            </w:r>
          </w:p>
        </w:tc>
        <w:tc>
          <w:tcPr>
            <w:tcW w:w="859" w:type="pct"/>
            <w:tcBorders>
              <w:top w:val="nil"/>
              <w:left w:val="nil"/>
              <w:bottom w:val="nil"/>
              <w:right w:val="nil"/>
            </w:tcBorders>
            <w:shd w:val="clear" w:color="auto" w:fill="D9D9D9" w:themeFill="background1" w:themeFillShade="D9"/>
          </w:tcPr>
          <w:p w14:paraId="22DAC729" w14:textId="2CCDA819" w:rsidR="00F1293B" w:rsidRPr="007F1451" w:rsidRDefault="00F1293B" w:rsidP="00F1293B">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Pr>
                <w:rFonts w:ascii="Times New Roman" w:hAnsi="Times New Roman" w:cs="Times New Roman"/>
                <w:sz w:val="24"/>
                <w:szCs w:val="24"/>
              </w:rPr>
              <w:t>697</w:t>
            </w:r>
          </w:p>
        </w:tc>
      </w:tr>
      <w:tr w:rsidR="00F1293B" w:rsidRPr="007F1451" w14:paraId="55C6682D" w14:textId="77777777" w:rsidTr="005D2F8C">
        <w:trPr>
          <w:trHeight w:val="80"/>
        </w:trPr>
        <w:tc>
          <w:tcPr>
            <w:tcW w:w="2216" w:type="pct"/>
            <w:tcBorders>
              <w:top w:val="nil"/>
              <w:left w:val="nil"/>
              <w:bottom w:val="nil"/>
              <w:right w:val="nil"/>
            </w:tcBorders>
            <w:shd w:val="clear" w:color="auto" w:fill="FFFFFF" w:themeFill="background1"/>
          </w:tcPr>
          <w:p w14:paraId="19FF5650" w14:textId="77777777" w:rsidR="00F1293B" w:rsidRPr="00BB6ED1" w:rsidRDefault="00F1293B" w:rsidP="00F1293B">
            <w:pPr>
              <w:spacing w:line="480" w:lineRule="auto"/>
              <w:rPr>
                <w:rFonts w:ascii="Times New Roman" w:hAnsi="Times New Roman" w:cs="Times New Roman"/>
                <w:sz w:val="24"/>
                <w:szCs w:val="24"/>
              </w:rPr>
            </w:pPr>
            <w:r w:rsidRPr="009568C0">
              <w:rPr>
                <w:rFonts w:ascii="Times New Roman" w:hAnsi="Times New Roman" w:cs="Times New Roman"/>
                <w:sz w:val="24"/>
                <w:szCs w:val="24"/>
              </w:rPr>
              <w:t xml:space="preserve">(g) </w:t>
            </w:r>
            <w:r w:rsidRPr="00BB6ED1">
              <w:rPr>
                <w:rFonts w:ascii="Times New Roman" w:hAnsi="Times New Roman" w:cs="Times New Roman"/>
                <w:sz w:val="24"/>
                <w:szCs w:val="24"/>
              </w:rPr>
              <w:t>Percent blue reflectance ~ muscle weight</w:t>
            </w:r>
          </w:p>
        </w:tc>
        <w:tc>
          <w:tcPr>
            <w:tcW w:w="664" w:type="pct"/>
            <w:tcBorders>
              <w:top w:val="nil"/>
              <w:left w:val="nil"/>
              <w:bottom w:val="nil"/>
              <w:right w:val="nil"/>
            </w:tcBorders>
            <w:shd w:val="clear" w:color="auto" w:fill="FFFFFF" w:themeFill="background1"/>
          </w:tcPr>
          <w:p w14:paraId="739F06E3" w14:textId="40CC0E09" w:rsidR="00F1293B" w:rsidRPr="00BB6ED1" w:rsidRDefault="00F1293B" w:rsidP="00F1293B">
            <w:pPr>
              <w:spacing w:line="480" w:lineRule="auto"/>
              <w:rPr>
                <w:rFonts w:ascii="Times New Roman" w:hAnsi="Times New Roman" w:cs="Times New Roman"/>
                <w:sz w:val="24"/>
                <w:szCs w:val="24"/>
              </w:rPr>
            </w:pPr>
            <w:r w:rsidRPr="007F1451">
              <w:rPr>
                <w:rFonts w:ascii="Times New Roman" w:hAnsi="Times New Roman" w:cs="Times New Roman"/>
                <w:sz w:val="24"/>
                <w:szCs w:val="24"/>
              </w:rPr>
              <w:t>-</w:t>
            </w:r>
            <w:r>
              <w:rPr>
                <w:rFonts w:ascii="Times New Roman" w:hAnsi="Times New Roman" w:cs="Times New Roman"/>
                <w:sz w:val="24"/>
                <w:szCs w:val="24"/>
              </w:rPr>
              <w:t>9.324</w:t>
            </w:r>
          </w:p>
        </w:tc>
        <w:tc>
          <w:tcPr>
            <w:tcW w:w="721" w:type="pct"/>
            <w:tcBorders>
              <w:top w:val="nil"/>
              <w:left w:val="nil"/>
              <w:bottom w:val="nil"/>
              <w:right w:val="nil"/>
            </w:tcBorders>
            <w:shd w:val="clear" w:color="auto" w:fill="FFFFFF" w:themeFill="background1"/>
          </w:tcPr>
          <w:p w14:paraId="36D82BC6" w14:textId="1A164A2A" w:rsidR="00F1293B" w:rsidRPr="00BB6ED1" w:rsidRDefault="00F1293B" w:rsidP="00F1293B">
            <w:pPr>
              <w:spacing w:line="480" w:lineRule="auto"/>
              <w:rPr>
                <w:rFonts w:ascii="Times New Roman" w:hAnsi="Times New Roman" w:cs="Times New Roman"/>
                <w:sz w:val="24"/>
                <w:szCs w:val="24"/>
              </w:rPr>
            </w:pPr>
            <w:r>
              <w:rPr>
                <w:rFonts w:ascii="Times New Roman" w:hAnsi="Times New Roman" w:cs="Times New Roman"/>
                <w:sz w:val="24"/>
                <w:szCs w:val="24"/>
              </w:rPr>
              <w:t>18.44</w:t>
            </w:r>
          </w:p>
        </w:tc>
        <w:tc>
          <w:tcPr>
            <w:tcW w:w="540" w:type="pct"/>
            <w:tcBorders>
              <w:top w:val="nil"/>
              <w:left w:val="nil"/>
              <w:bottom w:val="nil"/>
              <w:right w:val="nil"/>
            </w:tcBorders>
            <w:shd w:val="clear" w:color="auto" w:fill="FFFFFF" w:themeFill="background1"/>
          </w:tcPr>
          <w:p w14:paraId="1E1427C5" w14:textId="3EF02E46" w:rsidR="00F1293B" w:rsidRPr="00BB6ED1" w:rsidRDefault="00F1293B" w:rsidP="00F1293B">
            <w:pPr>
              <w:spacing w:line="480" w:lineRule="auto"/>
              <w:rPr>
                <w:rFonts w:ascii="Times New Roman" w:hAnsi="Times New Roman" w:cs="Times New Roman"/>
                <w:sz w:val="24"/>
                <w:szCs w:val="24"/>
              </w:rPr>
            </w:pPr>
            <w:r>
              <w:rPr>
                <w:rFonts w:ascii="Times New Roman" w:hAnsi="Times New Roman" w:cs="Times New Roman"/>
                <w:sz w:val="24"/>
                <w:szCs w:val="24"/>
              </w:rPr>
              <w:t>-0.506</w:t>
            </w:r>
          </w:p>
        </w:tc>
        <w:tc>
          <w:tcPr>
            <w:tcW w:w="859" w:type="pct"/>
            <w:tcBorders>
              <w:top w:val="nil"/>
              <w:left w:val="nil"/>
              <w:bottom w:val="nil"/>
              <w:right w:val="nil"/>
            </w:tcBorders>
            <w:shd w:val="clear" w:color="auto" w:fill="FFFFFF" w:themeFill="background1"/>
          </w:tcPr>
          <w:p w14:paraId="06466612" w14:textId="7CB8D528" w:rsidR="00F1293B" w:rsidRPr="00BB6ED1" w:rsidRDefault="00F1293B" w:rsidP="00F1293B">
            <w:pPr>
              <w:spacing w:line="480" w:lineRule="auto"/>
              <w:rPr>
                <w:rFonts w:ascii="Times New Roman" w:hAnsi="Times New Roman" w:cs="Times New Roman"/>
                <w:sz w:val="24"/>
                <w:szCs w:val="24"/>
              </w:rPr>
            </w:pPr>
            <w:r w:rsidRPr="007F1451">
              <w:rPr>
                <w:rFonts w:ascii="Times New Roman" w:hAnsi="Times New Roman" w:cs="Times New Roman"/>
                <w:sz w:val="24"/>
                <w:szCs w:val="24"/>
              </w:rPr>
              <w:t>0.</w:t>
            </w:r>
            <w:r>
              <w:rPr>
                <w:rFonts w:ascii="Times New Roman" w:hAnsi="Times New Roman" w:cs="Times New Roman"/>
                <w:sz w:val="24"/>
                <w:szCs w:val="24"/>
              </w:rPr>
              <w:t>613</w:t>
            </w:r>
          </w:p>
        </w:tc>
      </w:tr>
      <w:tr w:rsidR="00072587" w:rsidRPr="007F1451" w14:paraId="49BD043B" w14:textId="77777777" w:rsidTr="00072587">
        <w:trPr>
          <w:trHeight w:val="80"/>
        </w:trPr>
        <w:tc>
          <w:tcPr>
            <w:tcW w:w="2216" w:type="pct"/>
            <w:tcBorders>
              <w:top w:val="nil"/>
              <w:left w:val="nil"/>
              <w:bottom w:val="nil"/>
              <w:right w:val="nil"/>
            </w:tcBorders>
            <w:shd w:val="clear" w:color="auto" w:fill="D9D9D9" w:themeFill="background1" w:themeFillShade="D9"/>
          </w:tcPr>
          <w:p w14:paraId="3797638F" w14:textId="38270A1C" w:rsidR="00072587" w:rsidRPr="00BB6ED1" w:rsidRDefault="00072587" w:rsidP="00072587">
            <w:pPr>
              <w:spacing w:line="480" w:lineRule="auto"/>
              <w:rPr>
                <w:rFonts w:ascii="Times New Roman" w:hAnsi="Times New Roman" w:cs="Times New Roman"/>
                <w:b/>
                <w:bCs/>
                <w:sz w:val="24"/>
                <w:szCs w:val="24"/>
              </w:rPr>
            </w:pPr>
            <w:r w:rsidRPr="009568C0">
              <w:rPr>
                <w:rFonts w:ascii="Times New Roman" w:hAnsi="Times New Roman" w:cs="Times New Roman"/>
                <w:sz w:val="24"/>
                <w:szCs w:val="24"/>
              </w:rPr>
              <w:t>(h)</w:t>
            </w:r>
            <w:r w:rsidRPr="00BB6ED1">
              <w:rPr>
                <w:rFonts w:ascii="Times New Roman" w:hAnsi="Times New Roman" w:cs="Times New Roman"/>
                <w:b/>
                <w:bCs/>
                <w:sz w:val="24"/>
                <w:szCs w:val="24"/>
              </w:rPr>
              <w:t xml:space="preserve"> Percent blue reflectance ~ lipid content in body</w:t>
            </w:r>
          </w:p>
        </w:tc>
        <w:tc>
          <w:tcPr>
            <w:tcW w:w="664" w:type="pct"/>
            <w:tcBorders>
              <w:top w:val="nil"/>
              <w:left w:val="nil"/>
              <w:bottom w:val="nil"/>
              <w:right w:val="nil"/>
            </w:tcBorders>
            <w:shd w:val="clear" w:color="auto" w:fill="D9D9D9" w:themeFill="background1" w:themeFillShade="D9"/>
          </w:tcPr>
          <w:p w14:paraId="45D33D4A" w14:textId="53D0C023" w:rsidR="00072587" w:rsidRPr="00BB6ED1" w:rsidRDefault="00072587" w:rsidP="00072587">
            <w:pPr>
              <w:spacing w:line="480" w:lineRule="auto"/>
              <w:rPr>
                <w:rFonts w:ascii="Times New Roman" w:hAnsi="Times New Roman" w:cs="Times New Roman"/>
                <w:b/>
                <w:bCs/>
                <w:sz w:val="24"/>
                <w:szCs w:val="24"/>
              </w:rPr>
            </w:pPr>
            <w:r w:rsidRPr="00BB6ED1">
              <w:rPr>
                <w:rFonts w:ascii="Times New Roman" w:hAnsi="Times New Roman" w:cs="Times New Roman"/>
                <w:b/>
                <w:bCs/>
                <w:sz w:val="24"/>
                <w:szCs w:val="24"/>
              </w:rPr>
              <w:t>-0.1</w:t>
            </w:r>
            <w:r>
              <w:rPr>
                <w:rFonts w:ascii="Times New Roman" w:hAnsi="Times New Roman" w:cs="Times New Roman"/>
                <w:b/>
                <w:bCs/>
                <w:sz w:val="24"/>
                <w:szCs w:val="24"/>
              </w:rPr>
              <w:t>23</w:t>
            </w:r>
          </w:p>
        </w:tc>
        <w:tc>
          <w:tcPr>
            <w:tcW w:w="721" w:type="pct"/>
            <w:tcBorders>
              <w:top w:val="nil"/>
              <w:left w:val="nil"/>
              <w:bottom w:val="nil"/>
              <w:right w:val="nil"/>
            </w:tcBorders>
            <w:shd w:val="clear" w:color="auto" w:fill="D9D9D9" w:themeFill="background1" w:themeFillShade="D9"/>
          </w:tcPr>
          <w:p w14:paraId="53E31FA4" w14:textId="4D1C6F0F" w:rsidR="00072587" w:rsidRPr="00BB6ED1" w:rsidRDefault="00072587" w:rsidP="00072587">
            <w:pPr>
              <w:spacing w:line="480" w:lineRule="auto"/>
              <w:rPr>
                <w:rFonts w:ascii="Times New Roman" w:hAnsi="Times New Roman" w:cs="Times New Roman"/>
                <w:b/>
                <w:bCs/>
                <w:sz w:val="24"/>
                <w:szCs w:val="24"/>
              </w:rPr>
            </w:pPr>
            <w:r w:rsidRPr="00BB6ED1">
              <w:rPr>
                <w:rFonts w:ascii="Times New Roman" w:hAnsi="Times New Roman" w:cs="Times New Roman"/>
                <w:b/>
                <w:bCs/>
                <w:sz w:val="24"/>
                <w:szCs w:val="24"/>
              </w:rPr>
              <w:t>0.0</w:t>
            </w:r>
            <w:r>
              <w:rPr>
                <w:rFonts w:ascii="Times New Roman" w:hAnsi="Times New Roman" w:cs="Times New Roman"/>
                <w:b/>
                <w:bCs/>
                <w:sz w:val="24"/>
                <w:szCs w:val="24"/>
              </w:rPr>
              <w:t>57</w:t>
            </w:r>
          </w:p>
        </w:tc>
        <w:tc>
          <w:tcPr>
            <w:tcW w:w="540" w:type="pct"/>
            <w:tcBorders>
              <w:top w:val="nil"/>
              <w:left w:val="nil"/>
              <w:bottom w:val="nil"/>
              <w:right w:val="nil"/>
            </w:tcBorders>
            <w:shd w:val="clear" w:color="auto" w:fill="D9D9D9" w:themeFill="background1" w:themeFillShade="D9"/>
          </w:tcPr>
          <w:p w14:paraId="4B41B5A9" w14:textId="087EB9D3" w:rsidR="00072587" w:rsidRPr="00BB6ED1" w:rsidRDefault="00072587" w:rsidP="00072587">
            <w:pPr>
              <w:spacing w:line="480" w:lineRule="auto"/>
              <w:rPr>
                <w:rFonts w:ascii="Times New Roman" w:hAnsi="Times New Roman" w:cs="Times New Roman"/>
                <w:b/>
                <w:bCs/>
                <w:sz w:val="24"/>
                <w:szCs w:val="24"/>
              </w:rPr>
            </w:pPr>
            <w:r w:rsidRPr="00BB6ED1">
              <w:rPr>
                <w:rFonts w:ascii="Times New Roman" w:hAnsi="Times New Roman" w:cs="Times New Roman"/>
                <w:b/>
                <w:bCs/>
                <w:sz w:val="24"/>
                <w:szCs w:val="24"/>
              </w:rPr>
              <w:t>-2.</w:t>
            </w:r>
            <w:r>
              <w:rPr>
                <w:rFonts w:ascii="Times New Roman" w:hAnsi="Times New Roman" w:cs="Times New Roman"/>
                <w:b/>
                <w:bCs/>
                <w:sz w:val="24"/>
                <w:szCs w:val="24"/>
              </w:rPr>
              <w:t>153</w:t>
            </w:r>
          </w:p>
        </w:tc>
        <w:tc>
          <w:tcPr>
            <w:tcW w:w="859" w:type="pct"/>
            <w:tcBorders>
              <w:top w:val="nil"/>
              <w:left w:val="nil"/>
              <w:bottom w:val="nil"/>
              <w:right w:val="nil"/>
            </w:tcBorders>
            <w:shd w:val="clear" w:color="auto" w:fill="D9D9D9" w:themeFill="background1" w:themeFillShade="D9"/>
          </w:tcPr>
          <w:p w14:paraId="32E3017E" w14:textId="4FD629E0" w:rsidR="00072587" w:rsidRPr="00BB6ED1" w:rsidRDefault="00072587" w:rsidP="00072587">
            <w:pPr>
              <w:spacing w:line="480" w:lineRule="auto"/>
              <w:rPr>
                <w:rFonts w:ascii="Times New Roman" w:hAnsi="Times New Roman" w:cs="Times New Roman"/>
                <w:b/>
                <w:bCs/>
                <w:sz w:val="24"/>
                <w:szCs w:val="24"/>
              </w:rPr>
            </w:pPr>
            <w:r w:rsidRPr="00BB6ED1">
              <w:rPr>
                <w:rFonts w:ascii="Times New Roman" w:hAnsi="Times New Roman" w:cs="Times New Roman"/>
                <w:b/>
                <w:bCs/>
                <w:sz w:val="24"/>
                <w:szCs w:val="24"/>
              </w:rPr>
              <w:t>0.0</w:t>
            </w:r>
            <w:r>
              <w:rPr>
                <w:rFonts w:ascii="Times New Roman" w:hAnsi="Times New Roman" w:cs="Times New Roman"/>
                <w:b/>
                <w:bCs/>
                <w:sz w:val="24"/>
                <w:szCs w:val="24"/>
              </w:rPr>
              <w:t>31</w:t>
            </w:r>
          </w:p>
        </w:tc>
      </w:tr>
      <w:tr w:rsidR="00072587" w:rsidRPr="007F1451" w14:paraId="41D2D00B" w14:textId="77777777" w:rsidTr="00072587">
        <w:trPr>
          <w:trHeight w:val="80"/>
        </w:trPr>
        <w:tc>
          <w:tcPr>
            <w:tcW w:w="2216" w:type="pct"/>
            <w:tcBorders>
              <w:top w:val="nil"/>
              <w:left w:val="nil"/>
              <w:bottom w:val="nil"/>
              <w:right w:val="nil"/>
            </w:tcBorders>
            <w:shd w:val="clear" w:color="auto" w:fill="auto"/>
          </w:tcPr>
          <w:p w14:paraId="2653118B" w14:textId="77777777" w:rsidR="00072587" w:rsidRPr="009568C0" w:rsidRDefault="00072587" w:rsidP="00F1293B">
            <w:pPr>
              <w:spacing w:line="480" w:lineRule="auto"/>
              <w:rPr>
                <w:rFonts w:ascii="Times New Roman" w:hAnsi="Times New Roman" w:cs="Times New Roman"/>
                <w:sz w:val="24"/>
                <w:szCs w:val="24"/>
              </w:rPr>
            </w:pPr>
          </w:p>
        </w:tc>
        <w:tc>
          <w:tcPr>
            <w:tcW w:w="664" w:type="pct"/>
            <w:tcBorders>
              <w:top w:val="nil"/>
              <w:left w:val="nil"/>
              <w:bottom w:val="nil"/>
              <w:right w:val="nil"/>
            </w:tcBorders>
            <w:shd w:val="clear" w:color="auto" w:fill="auto"/>
          </w:tcPr>
          <w:p w14:paraId="5BD4C3CE" w14:textId="08AC352D" w:rsidR="00072587" w:rsidRPr="00BB6ED1" w:rsidRDefault="00072587" w:rsidP="00F1293B">
            <w:pPr>
              <w:spacing w:line="480" w:lineRule="auto"/>
              <w:rPr>
                <w:rFonts w:ascii="Times New Roman" w:hAnsi="Times New Roman" w:cs="Times New Roman"/>
                <w:b/>
                <w:bCs/>
                <w:sz w:val="24"/>
                <w:szCs w:val="24"/>
              </w:rPr>
            </w:pPr>
            <w:r>
              <w:rPr>
                <w:rFonts w:ascii="Times New Roman" w:hAnsi="Times New Roman" w:cs="Times New Roman"/>
                <w:b/>
                <w:bCs/>
                <w:sz w:val="24"/>
                <w:szCs w:val="24"/>
              </w:rPr>
              <w:t>Green</w:t>
            </w:r>
          </w:p>
        </w:tc>
        <w:tc>
          <w:tcPr>
            <w:tcW w:w="721" w:type="pct"/>
            <w:tcBorders>
              <w:top w:val="nil"/>
              <w:left w:val="nil"/>
              <w:bottom w:val="nil"/>
              <w:right w:val="nil"/>
            </w:tcBorders>
            <w:shd w:val="clear" w:color="auto" w:fill="auto"/>
          </w:tcPr>
          <w:p w14:paraId="0C68AC87" w14:textId="77777777" w:rsidR="00072587" w:rsidRPr="00BB6ED1" w:rsidRDefault="00072587" w:rsidP="00F1293B">
            <w:pPr>
              <w:spacing w:line="480" w:lineRule="auto"/>
              <w:rPr>
                <w:rFonts w:ascii="Times New Roman" w:hAnsi="Times New Roman" w:cs="Times New Roman"/>
                <w:b/>
                <w:bCs/>
                <w:sz w:val="24"/>
                <w:szCs w:val="24"/>
              </w:rPr>
            </w:pPr>
          </w:p>
        </w:tc>
        <w:tc>
          <w:tcPr>
            <w:tcW w:w="540" w:type="pct"/>
            <w:tcBorders>
              <w:top w:val="nil"/>
              <w:left w:val="nil"/>
              <w:bottom w:val="nil"/>
              <w:right w:val="nil"/>
            </w:tcBorders>
            <w:shd w:val="clear" w:color="auto" w:fill="auto"/>
          </w:tcPr>
          <w:p w14:paraId="26AF5FBB" w14:textId="77777777" w:rsidR="00072587" w:rsidRPr="00BB6ED1" w:rsidRDefault="00072587" w:rsidP="00F1293B">
            <w:pPr>
              <w:spacing w:line="480" w:lineRule="auto"/>
              <w:rPr>
                <w:rFonts w:ascii="Times New Roman" w:hAnsi="Times New Roman" w:cs="Times New Roman"/>
                <w:b/>
                <w:bCs/>
                <w:sz w:val="24"/>
                <w:szCs w:val="24"/>
              </w:rPr>
            </w:pPr>
          </w:p>
        </w:tc>
        <w:tc>
          <w:tcPr>
            <w:tcW w:w="859" w:type="pct"/>
            <w:tcBorders>
              <w:top w:val="nil"/>
              <w:left w:val="nil"/>
              <w:bottom w:val="nil"/>
              <w:right w:val="nil"/>
            </w:tcBorders>
            <w:shd w:val="clear" w:color="auto" w:fill="auto"/>
          </w:tcPr>
          <w:p w14:paraId="30F8549D" w14:textId="77777777" w:rsidR="00072587" w:rsidRPr="00BB6ED1" w:rsidRDefault="00072587" w:rsidP="00F1293B">
            <w:pPr>
              <w:spacing w:line="480" w:lineRule="auto"/>
              <w:rPr>
                <w:rFonts w:ascii="Times New Roman" w:hAnsi="Times New Roman" w:cs="Times New Roman"/>
                <w:b/>
                <w:bCs/>
                <w:sz w:val="24"/>
                <w:szCs w:val="24"/>
              </w:rPr>
            </w:pPr>
          </w:p>
        </w:tc>
      </w:tr>
      <w:tr w:rsidR="00072587" w:rsidRPr="007F1451" w14:paraId="633DAA69" w14:textId="77777777" w:rsidTr="00072587">
        <w:trPr>
          <w:trHeight w:val="80"/>
        </w:trPr>
        <w:tc>
          <w:tcPr>
            <w:tcW w:w="2216" w:type="pct"/>
            <w:tcBorders>
              <w:top w:val="nil"/>
              <w:left w:val="nil"/>
              <w:bottom w:val="nil"/>
              <w:right w:val="nil"/>
            </w:tcBorders>
            <w:shd w:val="clear" w:color="auto" w:fill="auto"/>
          </w:tcPr>
          <w:p w14:paraId="5D15DA8E" w14:textId="5D858733" w:rsidR="00072587" w:rsidRPr="009568C0" w:rsidRDefault="00072587" w:rsidP="00072587">
            <w:pPr>
              <w:spacing w:line="480" w:lineRule="auto"/>
              <w:rPr>
                <w:rFonts w:ascii="Times New Roman" w:hAnsi="Times New Roman" w:cs="Times New Roman"/>
                <w:sz w:val="24"/>
                <w:szCs w:val="24"/>
              </w:rPr>
            </w:pPr>
            <w:r w:rsidRPr="007F1451">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7F1451">
              <w:rPr>
                <w:rFonts w:ascii="Times New Roman" w:hAnsi="Times New Roman" w:cs="Times New Roman"/>
                <w:sz w:val="24"/>
                <w:szCs w:val="24"/>
              </w:rPr>
              <w:t xml:space="preserve">) Percent </w:t>
            </w:r>
            <w:r>
              <w:rPr>
                <w:rFonts w:ascii="Times New Roman" w:hAnsi="Times New Roman" w:cs="Times New Roman"/>
                <w:sz w:val="24"/>
                <w:szCs w:val="24"/>
              </w:rPr>
              <w:t>green</w:t>
            </w:r>
            <w:r w:rsidRPr="007F1451">
              <w:rPr>
                <w:rFonts w:ascii="Times New Roman" w:hAnsi="Times New Roman" w:cs="Times New Roman"/>
                <w:sz w:val="24"/>
                <w:szCs w:val="24"/>
              </w:rPr>
              <w:t xml:space="preserve"> reflectance ~ carapace width</w:t>
            </w:r>
          </w:p>
        </w:tc>
        <w:tc>
          <w:tcPr>
            <w:tcW w:w="664" w:type="pct"/>
            <w:tcBorders>
              <w:top w:val="nil"/>
              <w:left w:val="nil"/>
              <w:bottom w:val="nil"/>
              <w:right w:val="nil"/>
            </w:tcBorders>
            <w:shd w:val="clear" w:color="auto" w:fill="auto"/>
          </w:tcPr>
          <w:p w14:paraId="2A6E7020" w14:textId="0A7143EA" w:rsidR="00072587" w:rsidRPr="007F21FA" w:rsidRDefault="007F21FA" w:rsidP="00072587">
            <w:pPr>
              <w:spacing w:line="480" w:lineRule="auto"/>
              <w:rPr>
                <w:rFonts w:ascii="Times New Roman" w:hAnsi="Times New Roman" w:cs="Times New Roman"/>
                <w:sz w:val="24"/>
                <w:szCs w:val="24"/>
              </w:rPr>
            </w:pPr>
            <w:r w:rsidRPr="007F21FA">
              <w:rPr>
                <w:rFonts w:ascii="Times New Roman" w:hAnsi="Times New Roman" w:cs="Times New Roman"/>
                <w:sz w:val="24"/>
                <w:szCs w:val="24"/>
              </w:rPr>
              <w:t>0.26</w:t>
            </w:r>
            <w:r>
              <w:rPr>
                <w:rFonts w:ascii="Times New Roman" w:hAnsi="Times New Roman" w:cs="Times New Roman"/>
                <w:sz w:val="24"/>
                <w:szCs w:val="24"/>
              </w:rPr>
              <w:t>2</w:t>
            </w:r>
          </w:p>
        </w:tc>
        <w:tc>
          <w:tcPr>
            <w:tcW w:w="721" w:type="pct"/>
            <w:tcBorders>
              <w:top w:val="nil"/>
              <w:left w:val="nil"/>
              <w:bottom w:val="nil"/>
              <w:right w:val="nil"/>
            </w:tcBorders>
            <w:shd w:val="clear" w:color="auto" w:fill="auto"/>
          </w:tcPr>
          <w:p w14:paraId="69D053BD" w14:textId="432295A7"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0.484</w:t>
            </w:r>
          </w:p>
        </w:tc>
        <w:tc>
          <w:tcPr>
            <w:tcW w:w="540" w:type="pct"/>
            <w:tcBorders>
              <w:top w:val="nil"/>
              <w:left w:val="nil"/>
              <w:bottom w:val="nil"/>
              <w:right w:val="nil"/>
            </w:tcBorders>
            <w:shd w:val="clear" w:color="auto" w:fill="auto"/>
          </w:tcPr>
          <w:p w14:paraId="78296AE0" w14:textId="2133C0F0"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0.584</w:t>
            </w:r>
          </w:p>
        </w:tc>
        <w:tc>
          <w:tcPr>
            <w:tcW w:w="859" w:type="pct"/>
            <w:tcBorders>
              <w:top w:val="nil"/>
              <w:left w:val="nil"/>
              <w:bottom w:val="nil"/>
              <w:right w:val="nil"/>
            </w:tcBorders>
            <w:shd w:val="clear" w:color="auto" w:fill="auto"/>
          </w:tcPr>
          <w:p w14:paraId="67F5FED2" w14:textId="5A1950A8"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0.559</w:t>
            </w:r>
          </w:p>
        </w:tc>
      </w:tr>
      <w:tr w:rsidR="00072587" w:rsidRPr="007F1451" w14:paraId="2331D115" w14:textId="77777777" w:rsidTr="007F21FA">
        <w:trPr>
          <w:trHeight w:val="80"/>
        </w:trPr>
        <w:tc>
          <w:tcPr>
            <w:tcW w:w="2216" w:type="pct"/>
            <w:tcBorders>
              <w:top w:val="nil"/>
              <w:left w:val="nil"/>
              <w:bottom w:val="nil"/>
              <w:right w:val="nil"/>
            </w:tcBorders>
            <w:shd w:val="clear" w:color="auto" w:fill="D9D9D9" w:themeFill="background1" w:themeFillShade="D9"/>
          </w:tcPr>
          <w:p w14:paraId="2B1F2C10" w14:textId="013B2170" w:rsidR="00072587" w:rsidRPr="009568C0" w:rsidRDefault="00072587" w:rsidP="00072587">
            <w:pPr>
              <w:spacing w:line="480" w:lineRule="auto"/>
              <w:rPr>
                <w:rFonts w:ascii="Times New Roman" w:hAnsi="Times New Roman" w:cs="Times New Roman"/>
                <w:sz w:val="24"/>
                <w:szCs w:val="24"/>
              </w:rPr>
            </w:pPr>
            <w:r w:rsidRPr="007F1451">
              <w:rPr>
                <w:rFonts w:ascii="Times New Roman" w:hAnsi="Times New Roman" w:cs="Times New Roman"/>
                <w:sz w:val="24"/>
                <w:szCs w:val="24"/>
              </w:rPr>
              <w:t>(</w:t>
            </w:r>
            <w:r>
              <w:rPr>
                <w:rFonts w:ascii="Times New Roman" w:hAnsi="Times New Roman" w:cs="Times New Roman"/>
                <w:sz w:val="24"/>
                <w:szCs w:val="24"/>
              </w:rPr>
              <w:t>j</w:t>
            </w:r>
            <w:r w:rsidRPr="007F1451">
              <w:rPr>
                <w:rFonts w:ascii="Times New Roman" w:hAnsi="Times New Roman" w:cs="Times New Roman"/>
                <w:sz w:val="24"/>
                <w:szCs w:val="24"/>
              </w:rPr>
              <w:t xml:space="preserve">) Percent </w:t>
            </w:r>
            <w:r>
              <w:rPr>
                <w:rFonts w:ascii="Times New Roman" w:hAnsi="Times New Roman" w:cs="Times New Roman"/>
                <w:sz w:val="24"/>
                <w:szCs w:val="24"/>
              </w:rPr>
              <w:t>green</w:t>
            </w:r>
            <w:r w:rsidRPr="007F1451">
              <w:rPr>
                <w:rFonts w:ascii="Times New Roman" w:hAnsi="Times New Roman" w:cs="Times New Roman"/>
                <w:sz w:val="24"/>
                <w:szCs w:val="24"/>
              </w:rPr>
              <w:t xml:space="preserve"> reflectance ~ c</w:t>
            </w:r>
            <w:r>
              <w:rPr>
                <w:rFonts w:ascii="Times New Roman" w:hAnsi="Times New Roman" w:cs="Times New Roman"/>
                <w:sz w:val="24"/>
                <w:szCs w:val="24"/>
              </w:rPr>
              <w:t>law</w:t>
            </w:r>
            <w:r w:rsidRPr="007F1451">
              <w:rPr>
                <w:rFonts w:ascii="Times New Roman" w:hAnsi="Times New Roman" w:cs="Times New Roman"/>
                <w:sz w:val="24"/>
                <w:szCs w:val="24"/>
              </w:rPr>
              <w:t xml:space="preserve"> </w:t>
            </w:r>
            <w:r>
              <w:rPr>
                <w:rFonts w:ascii="Times New Roman" w:hAnsi="Times New Roman" w:cs="Times New Roman"/>
                <w:sz w:val="24"/>
                <w:szCs w:val="24"/>
              </w:rPr>
              <w:t>length</w:t>
            </w:r>
          </w:p>
        </w:tc>
        <w:tc>
          <w:tcPr>
            <w:tcW w:w="664" w:type="pct"/>
            <w:tcBorders>
              <w:top w:val="nil"/>
              <w:left w:val="nil"/>
              <w:bottom w:val="nil"/>
              <w:right w:val="nil"/>
            </w:tcBorders>
            <w:shd w:val="clear" w:color="auto" w:fill="D9D9D9" w:themeFill="background1" w:themeFillShade="D9"/>
          </w:tcPr>
          <w:p w14:paraId="65EA3355" w14:textId="412D633E"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-0.009</w:t>
            </w:r>
          </w:p>
        </w:tc>
        <w:tc>
          <w:tcPr>
            <w:tcW w:w="721" w:type="pct"/>
            <w:tcBorders>
              <w:top w:val="nil"/>
              <w:left w:val="nil"/>
              <w:bottom w:val="nil"/>
              <w:right w:val="nil"/>
            </w:tcBorders>
            <w:shd w:val="clear" w:color="auto" w:fill="D9D9D9" w:themeFill="background1" w:themeFillShade="D9"/>
          </w:tcPr>
          <w:p w14:paraId="64C035B1" w14:textId="464B31D8"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0.171</w:t>
            </w:r>
          </w:p>
        </w:tc>
        <w:tc>
          <w:tcPr>
            <w:tcW w:w="540" w:type="pct"/>
            <w:tcBorders>
              <w:top w:val="nil"/>
              <w:left w:val="nil"/>
              <w:bottom w:val="nil"/>
              <w:right w:val="nil"/>
            </w:tcBorders>
            <w:shd w:val="clear" w:color="auto" w:fill="D9D9D9" w:themeFill="background1" w:themeFillShade="D9"/>
          </w:tcPr>
          <w:p w14:paraId="3CD8C422" w14:textId="00A2C3CF"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-0.058</w:t>
            </w:r>
          </w:p>
        </w:tc>
        <w:tc>
          <w:tcPr>
            <w:tcW w:w="859" w:type="pct"/>
            <w:tcBorders>
              <w:top w:val="nil"/>
              <w:left w:val="nil"/>
              <w:bottom w:val="nil"/>
              <w:right w:val="nil"/>
            </w:tcBorders>
            <w:shd w:val="clear" w:color="auto" w:fill="D9D9D9" w:themeFill="background1" w:themeFillShade="D9"/>
          </w:tcPr>
          <w:p w14:paraId="62E9175A" w14:textId="7F904256"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0.954</w:t>
            </w:r>
          </w:p>
        </w:tc>
      </w:tr>
      <w:tr w:rsidR="00072587" w:rsidRPr="007F1451" w14:paraId="480A0CA3" w14:textId="77777777" w:rsidTr="00072587">
        <w:trPr>
          <w:trHeight w:val="80"/>
        </w:trPr>
        <w:tc>
          <w:tcPr>
            <w:tcW w:w="2216" w:type="pct"/>
            <w:tcBorders>
              <w:top w:val="nil"/>
              <w:left w:val="nil"/>
              <w:bottom w:val="nil"/>
              <w:right w:val="nil"/>
            </w:tcBorders>
            <w:shd w:val="clear" w:color="auto" w:fill="auto"/>
          </w:tcPr>
          <w:p w14:paraId="72A8E224" w14:textId="11C77FC6" w:rsidR="00072587" w:rsidRPr="009568C0" w:rsidRDefault="00072587" w:rsidP="00072587">
            <w:pPr>
              <w:spacing w:line="480" w:lineRule="auto"/>
              <w:rPr>
                <w:rFonts w:ascii="Times New Roman" w:hAnsi="Times New Roman" w:cs="Times New Roman"/>
                <w:sz w:val="24"/>
                <w:szCs w:val="24"/>
              </w:rPr>
            </w:pPr>
            <w:r w:rsidRPr="009568C0">
              <w:rPr>
                <w:rFonts w:ascii="Times New Roman" w:hAnsi="Times New Roman" w:cs="Times New Roman"/>
                <w:sz w:val="24"/>
                <w:szCs w:val="24"/>
              </w:rPr>
              <w:t>(</w:t>
            </w:r>
            <w:r>
              <w:rPr>
                <w:rFonts w:ascii="Times New Roman" w:hAnsi="Times New Roman" w:cs="Times New Roman"/>
                <w:sz w:val="24"/>
                <w:szCs w:val="24"/>
              </w:rPr>
              <w:t>k</w:t>
            </w:r>
            <w:r w:rsidRPr="009568C0">
              <w:rPr>
                <w:rFonts w:ascii="Times New Roman" w:hAnsi="Times New Roman" w:cs="Times New Roman"/>
                <w:sz w:val="24"/>
                <w:szCs w:val="24"/>
              </w:rPr>
              <w:t xml:space="preserve">) </w:t>
            </w:r>
            <w:r w:rsidRPr="00BB6ED1">
              <w:rPr>
                <w:rFonts w:ascii="Times New Roman" w:hAnsi="Times New Roman" w:cs="Times New Roman"/>
                <w:sz w:val="24"/>
                <w:szCs w:val="24"/>
              </w:rPr>
              <w:t xml:space="preserve">Percent </w:t>
            </w:r>
            <w:r>
              <w:rPr>
                <w:rFonts w:ascii="Times New Roman" w:hAnsi="Times New Roman" w:cs="Times New Roman"/>
                <w:sz w:val="24"/>
                <w:szCs w:val="24"/>
              </w:rPr>
              <w:t>green</w:t>
            </w:r>
            <w:r w:rsidRPr="007F1451">
              <w:rPr>
                <w:rFonts w:ascii="Times New Roman" w:hAnsi="Times New Roman" w:cs="Times New Roman"/>
                <w:sz w:val="24"/>
                <w:szCs w:val="24"/>
              </w:rPr>
              <w:t xml:space="preserve"> </w:t>
            </w:r>
            <w:r w:rsidRPr="00BB6ED1">
              <w:rPr>
                <w:rFonts w:ascii="Times New Roman" w:hAnsi="Times New Roman" w:cs="Times New Roman"/>
                <w:sz w:val="24"/>
                <w:szCs w:val="24"/>
              </w:rPr>
              <w:t>reflectance ~ muscle weight</w:t>
            </w:r>
          </w:p>
        </w:tc>
        <w:tc>
          <w:tcPr>
            <w:tcW w:w="664" w:type="pct"/>
            <w:tcBorders>
              <w:top w:val="nil"/>
              <w:left w:val="nil"/>
              <w:bottom w:val="nil"/>
              <w:right w:val="nil"/>
            </w:tcBorders>
            <w:shd w:val="clear" w:color="auto" w:fill="auto"/>
          </w:tcPr>
          <w:p w14:paraId="53F87EC1" w14:textId="7144A448"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-3.893</w:t>
            </w:r>
          </w:p>
        </w:tc>
        <w:tc>
          <w:tcPr>
            <w:tcW w:w="721" w:type="pct"/>
            <w:tcBorders>
              <w:top w:val="nil"/>
              <w:left w:val="nil"/>
              <w:bottom w:val="nil"/>
              <w:right w:val="nil"/>
            </w:tcBorders>
            <w:shd w:val="clear" w:color="auto" w:fill="auto"/>
          </w:tcPr>
          <w:p w14:paraId="7F239FBB" w14:textId="1F8BFDC4"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19.038</w:t>
            </w:r>
          </w:p>
        </w:tc>
        <w:tc>
          <w:tcPr>
            <w:tcW w:w="540" w:type="pct"/>
            <w:tcBorders>
              <w:top w:val="nil"/>
              <w:left w:val="nil"/>
              <w:bottom w:val="nil"/>
              <w:right w:val="nil"/>
            </w:tcBorders>
            <w:shd w:val="clear" w:color="auto" w:fill="auto"/>
          </w:tcPr>
          <w:p w14:paraId="14B3BF2C" w14:textId="2F236DC7"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-0.205</w:t>
            </w:r>
          </w:p>
        </w:tc>
        <w:tc>
          <w:tcPr>
            <w:tcW w:w="859" w:type="pct"/>
            <w:tcBorders>
              <w:top w:val="nil"/>
              <w:left w:val="nil"/>
              <w:bottom w:val="nil"/>
              <w:right w:val="nil"/>
            </w:tcBorders>
            <w:shd w:val="clear" w:color="auto" w:fill="auto"/>
          </w:tcPr>
          <w:p w14:paraId="4EB9C6BC" w14:textId="28CF440A"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0.838</w:t>
            </w:r>
          </w:p>
        </w:tc>
      </w:tr>
      <w:tr w:rsidR="00072587" w:rsidRPr="007F1451" w14:paraId="01DD79AF" w14:textId="77777777" w:rsidTr="007F21FA">
        <w:trPr>
          <w:trHeight w:val="80"/>
        </w:trPr>
        <w:tc>
          <w:tcPr>
            <w:tcW w:w="2216" w:type="pct"/>
            <w:tcBorders>
              <w:top w:val="nil"/>
              <w:left w:val="nil"/>
              <w:bottom w:val="single" w:sz="4" w:space="0" w:color="auto"/>
              <w:right w:val="nil"/>
            </w:tcBorders>
            <w:shd w:val="clear" w:color="auto" w:fill="D9D9D9" w:themeFill="background1" w:themeFillShade="D9"/>
          </w:tcPr>
          <w:p w14:paraId="333B970E" w14:textId="41BEAFF0" w:rsidR="00072587" w:rsidRPr="007F21FA" w:rsidRDefault="00072587" w:rsidP="00072587">
            <w:pPr>
              <w:spacing w:line="480" w:lineRule="auto"/>
              <w:rPr>
                <w:rFonts w:ascii="Times New Roman" w:hAnsi="Times New Roman" w:cs="Times New Roman"/>
                <w:sz w:val="24"/>
                <w:szCs w:val="24"/>
              </w:rPr>
            </w:pPr>
            <w:r w:rsidRPr="007F21FA">
              <w:rPr>
                <w:rFonts w:ascii="Times New Roman" w:hAnsi="Times New Roman" w:cs="Times New Roman"/>
                <w:sz w:val="24"/>
                <w:szCs w:val="24"/>
              </w:rPr>
              <w:t>(l) Percent green reflectance ~ lipid content in body</w:t>
            </w:r>
          </w:p>
        </w:tc>
        <w:tc>
          <w:tcPr>
            <w:tcW w:w="664" w:type="pct"/>
            <w:tcBorders>
              <w:top w:val="nil"/>
              <w:left w:val="nil"/>
              <w:bottom w:val="single" w:sz="4" w:space="0" w:color="auto"/>
              <w:right w:val="nil"/>
            </w:tcBorders>
            <w:shd w:val="clear" w:color="auto" w:fill="D9D9D9" w:themeFill="background1" w:themeFillShade="D9"/>
          </w:tcPr>
          <w:p w14:paraId="101EB50D" w14:textId="640B8512"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-0.013</w:t>
            </w:r>
          </w:p>
        </w:tc>
        <w:tc>
          <w:tcPr>
            <w:tcW w:w="721" w:type="pct"/>
            <w:tcBorders>
              <w:top w:val="nil"/>
              <w:left w:val="nil"/>
              <w:bottom w:val="single" w:sz="4" w:space="0" w:color="auto"/>
              <w:right w:val="nil"/>
            </w:tcBorders>
            <w:shd w:val="clear" w:color="auto" w:fill="D9D9D9" w:themeFill="background1" w:themeFillShade="D9"/>
          </w:tcPr>
          <w:p w14:paraId="051479B6" w14:textId="37155B2D"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0.006</w:t>
            </w:r>
          </w:p>
        </w:tc>
        <w:tc>
          <w:tcPr>
            <w:tcW w:w="540" w:type="pct"/>
            <w:tcBorders>
              <w:top w:val="nil"/>
              <w:left w:val="nil"/>
              <w:bottom w:val="single" w:sz="4" w:space="0" w:color="auto"/>
              <w:right w:val="nil"/>
            </w:tcBorders>
            <w:shd w:val="clear" w:color="auto" w:fill="D9D9D9" w:themeFill="background1" w:themeFillShade="D9"/>
          </w:tcPr>
          <w:p w14:paraId="7D8DE141" w14:textId="7E4DAED7"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-2.003</w:t>
            </w:r>
          </w:p>
        </w:tc>
        <w:tc>
          <w:tcPr>
            <w:tcW w:w="859" w:type="pct"/>
            <w:tcBorders>
              <w:top w:val="nil"/>
              <w:left w:val="nil"/>
              <w:bottom w:val="single" w:sz="4" w:space="0" w:color="auto"/>
              <w:right w:val="nil"/>
            </w:tcBorders>
            <w:shd w:val="clear" w:color="auto" w:fill="D9D9D9" w:themeFill="background1" w:themeFillShade="D9"/>
          </w:tcPr>
          <w:p w14:paraId="470765E9" w14:textId="0F2E4E69" w:rsidR="00072587" w:rsidRPr="007F21FA" w:rsidRDefault="007F21FA" w:rsidP="00072587">
            <w:pPr>
              <w:spacing w:line="480" w:lineRule="auto"/>
              <w:rPr>
                <w:rFonts w:ascii="Times New Roman" w:hAnsi="Times New Roman" w:cs="Times New Roman"/>
                <w:sz w:val="24"/>
                <w:szCs w:val="24"/>
              </w:rPr>
            </w:pPr>
            <w:r>
              <w:rPr>
                <w:rFonts w:ascii="Times New Roman" w:hAnsi="Times New Roman" w:cs="Times New Roman"/>
                <w:sz w:val="24"/>
                <w:szCs w:val="24"/>
              </w:rPr>
              <w:t>0.053</w:t>
            </w:r>
          </w:p>
        </w:tc>
      </w:tr>
    </w:tbl>
    <w:p w14:paraId="3C04A77C" w14:textId="56D8F3D1" w:rsidR="00DF4A17" w:rsidRDefault="00DF4A17" w:rsidP="005D2F8C">
      <w:pPr>
        <w:spacing w:line="480" w:lineRule="auto"/>
      </w:pPr>
    </w:p>
    <w:p w14:paraId="27380A6B" w14:textId="77777777" w:rsidR="007F21FA" w:rsidRDefault="007F21FA" w:rsidP="005D2F8C">
      <w:pPr>
        <w:spacing w:line="480" w:lineRule="auto"/>
      </w:pPr>
    </w:p>
    <w:p w14:paraId="2A50EBD6" w14:textId="77777777" w:rsidR="00FD4D7E" w:rsidRDefault="00FD4D7E" w:rsidP="007F21FA">
      <w:pPr>
        <w:jc w:val="center"/>
        <w:sectPr w:rsidR="00FD4D7E" w:rsidSect="00997FD8">
          <w:pgSz w:w="15840" w:h="12240" w:orient="landscape"/>
          <w:pgMar w:top="1440" w:right="1440" w:bottom="1440" w:left="1440" w:header="720" w:footer="720" w:gutter="0"/>
          <w:cols w:space="720"/>
          <w:docGrid w:linePitch="360"/>
        </w:sectPr>
      </w:pPr>
    </w:p>
    <w:p w14:paraId="77C7E7DA" w14:textId="77777777" w:rsidR="007F21FA" w:rsidRDefault="007F21FA" w:rsidP="007F21FA">
      <w:pPr>
        <w:jc w:val="center"/>
      </w:pPr>
      <w:r>
        <w:rPr>
          <w:noProof/>
        </w:rPr>
        <w:lastRenderedPageBreak/>
        <w:drawing>
          <wp:inline distT="0" distB="0" distL="0" distR="0" wp14:anchorId="751A5668" wp14:editId="7F1C1F55">
            <wp:extent cx="4514850" cy="4514850"/>
            <wp:effectExtent l="0" t="0" r="0" b="0"/>
            <wp:docPr id="206206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32862E" w14:textId="6651A323" w:rsidR="007F21FA" w:rsidRDefault="007F21FA" w:rsidP="007F21FA">
      <w:r w:rsidRPr="007F21FA">
        <w:rPr>
          <w:rFonts w:ascii="Book Antiqua" w:hAnsi="Book Antiqua" w:cs="Times New Roman"/>
          <w:b/>
          <w:bCs/>
        </w:rPr>
        <w:t>Figure S1.</w:t>
      </w:r>
      <w:r>
        <w:rPr>
          <w:rFonts w:ascii="Book Antiqua" w:hAnsi="Book Antiqua" w:cs="Times New Roman"/>
        </w:rPr>
        <w:t xml:space="preserve"> The relationship between reflectance within the red channel and A) carapace width, B) claw length, C) claw muscle weight, and D) lipid content in the body. There was no significant relationship between these variables. All figures represent data from 39 </w:t>
      </w:r>
      <w:proofErr w:type="spellStart"/>
      <w:r>
        <w:rPr>
          <w:rFonts w:ascii="Book Antiqua" w:hAnsi="Book Antiqua" w:cs="Times New Roman"/>
          <w:i/>
          <w:iCs/>
        </w:rPr>
        <w:t>Leptuca</w:t>
      </w:r>
      <w:proofErr w:type="spellEnd"/>
      <w:r>
        <w:rPr>
          <w:rFonts w:ascii="Book Antiqua" w:hAnsi="Book Antiqua" w:cs="Times New Roman"/>
          <w:i/>
          <w:iCs/>
        </w:rPr>
        <w:t xml:space="preserve"> </w:t>
      </w:r>
      <w:proofErr w:type="spellStart"/>
      <w:r>
        <w:rPr>
          <w:rFonts w:ascii="Book Antiqua" w:hAnsi="Book Antiqua" w:cs="Times New Roman"/>
          <w:i/>
          <w:iCs/>
        </w:rPr>
        <w:t>uruguayensis</w:t>
      </w:r>
      <w:proofErr w:type="spellEnd"/>
      <w:r>
        <w:rPr>
          <w:rFonts w:ascii="Book Antiqua" w:hAnsi="Book Antiqua" w:cs="Times New Roman"/>
        </w:rPr>
        <w:t xml:space="preserve"> males. Since none of the correlations were significant, we did not draw tendency lines.</w:t>
      </w:r>
    </w:p>
    <w:p w14:paraId="5D213C78" w14:textId="74EB0912" w:rsidR="007F21FA" w:rsidRDefault="007F21FA" w:rsidP="007F21FA">
      <w:pPr>
        <w:spacing w:line="480" w:lineRule="auto"/>
        <w:jc w:val="center"/>
      </w:pPr>
      <w:r>
        <w:rPr>
          <w:noProof/>
        </w:rPr>
        <w:lastRenderedPageBreak/>
        <w:drawing>
          <wp:inline distT="0" distB="0" distL="0" distR="0" wp14:anchorId="17A6C9D7" wp14:editId="55391280">
            <wp:extent cx="4810125" cy="4810125"/>
            <wp:effectExtent l="0" t="0" r="9525" b="9525"/>
            <wp:docPr id="132948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p>
    <w:p w14:paraId="3214191F" w14:textId="4BF90243" w:rsidR="007F21FA" w:rsidRDefault="007F21FA" w:rsidP="007F21FA">
      <w:r w:rsidRPr="007F21FA">
        <w:rPr>
          <w:rFonts w:ascii="Book Antiqua" w:hAnsi="Book Antiqua" w:cs="Times New Roman"/>
          <w:b/>
          <w:bCs/>
        </w:rPr>
        <w:t>Figure S2.</w:t>
      </w:r>
      <w:r>
        <w:rPr>
          <w:rFonts w:ascii="Book Antiqua" w:hAnsi="Book Antiqua" w:cs="Times New Roman"/>
        </w:rPr>
        <w:t xml:space="preserve"> The relationship between reflectance within the blue channel and A) carapace width, B) claw length, C) claw muscle weight, and D) lipid content in the body. The solid line represents the significant correlation between lipid content and blue reflectance using a beta regression (hence the non-linearity of the curve). There was no significant relationship between these variables aside from a significant negative relationship in D). All figures represent data from 39 </w:t>
      </w:r>
      <w:proofErr w:type="spellStart"/>
      <w:r>
        <w:rPr>
          <w:rFonts w:ascii="Book Antiqua" w:hAnsi="Book Antiqua" w:cs="Times New Roman"/>
          <w:i/>
          <w:iCs/>
        </w:rPr>
        <w:t>Leptuca</w:t>
      </w:r>
      <w:proofErr w:type="spellEnd"/>
      <w:r>
        <w:rPr>
          <w:rFonts w:ascii="Book Antiqua" w:hAnsi="Book Antiqua" w:cs="Times New Roman"/>
          <w:i/>
          <w:iCs/>
        </w:rPr>
        <w:t xml:space="preserve"> </w:t>
      </w:r>
      <w:proofErr w:type="spellStart"/>
      <w:r>
        <w:rPr>
          <w:rFonts w:ascii="Book Antiqua" w:hAnsi="Book Antiqua" w:cs="Times New Roman"/>
          <w:i/>
          <w:iCs/>
        </w:rPr>
        <w:t>uruguayensis</w:t>
      </w:r>
      <w:proofErr w:type="spellEnd"/>
      <w:r>
        <w:rPr>
          <w:rFonts w:ascii="Book Antiqua" w:hAnsi="Book Antiqua" w:cs="Times New Roman"/>
        </w:rPr>
        <w:t xml:space="preserve"> males.</w:t>
      </w:r>
    </w:p>
    <w:p w14:paraId="46A7128B" w14:textId="17B674F1" w:rsidR="007F21FA" w:rsidRDefault="007F21FA" w:rsidP="007F21FA">
      <w:pPr>
        <w:spacing w:line="480" w:lineRule="auto"/>
        <w:jc w:val="center"/>
      </w:pPr>
      <w:r>
        <w:rPr>
          <w:noProof/>
        </w:rPr>
        <w:lastRenderedPageBreak/>
        <w:drawing>
          <wp:inline distT="0" distB="0" distL="0" distR="0" wp14:anchorId="5E5F30EC" wp14:editId="4A0D0B0B">
            <wp:extent cx="5010150" cy="5010150"/>
            <wp:effectExtent l="0" t="0" r="0" b="0"/>
            <wp:docPr id="150060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0150" cy="5010150"/>
                    </a:xfrm>
                    <a:prstGeom prst="rect">
                      <a:avLst/>
                    </a:prstGeom>
                    <a:noFill/>
                    <a:ln>
                      <a:noFill/>
                    </a:ln>
                  </pic:spPr>
                </pic:pic>
              </a:graphicData>
            </a:graphic>
          </wp:inline>
        </w:drawing>
      </w:r>
    </w:p>
    <w:p w14:paraId="35EBA34F" w14:textId="0997CAE8" w:rsidR="007F21FA" w:rsidRDefault="007F21FA" w:rsidP="007F21FA">
      <w:r w:rsidRPr="007F21FA">
        <w:rPr>
          <w:rFonts w:ascii="Book Antiqua" w:hAnsi="Book Antiqua" w:cs="Times New Roman"/>
          <w:b/>
          <w:bCs/>
        </w:rPr>
        <w:t>Figure S</w:t>
      </w:r>
      <w:r>
        <w:rPr>
          <w:rFonts w:ascii="Book Antiqua" w:hAnsi="Book Antiqua" w:cs="Times New Roman"/>
          <w:b/>
          <w:bCs/>
        </w:rPr>
        <w:t>3</w:t>
      </w:r>
      <w:r w:rsidRPr="007F21FA">
        <w:rPr>
          <w:rFonts w:ascii="Book Antiqua" w:hAnsi="Book Antiqua" w:cs="Times New Roman"/>
          <w:b/>
          <w:bCs/>
        </w:rPr>
        <w:t>.</w:t>
      </w:r>
      <w:r>
        <w:rPr>
          <w:rFonts w:ascii="Book Antiqua" w:hAnsi="Book Antiqua" w:cs="Times New Roman"/>
        </w:rPr>
        <w:t xml:space="preserve"> The relationship between reflectance within the green  channel and A) carapace width, B) claw length, C) claw muscle weight, and D) lipid content in the body. There was no significant relationship between these variables. All figures represent data from 39 </w:t>
      </w:r>
      <w:proofErr w:type="spellStart"/>
      <w:r>
        <w:rPr>
          <w:rFonts w:ascii="Book Antiqua" w:hAnsi="Book Antiqua" w:cs="Times New Roman"/>
          <w:i/>
          <w:iCs/>
        </w:rPr>
        <w:t>Leptuca</w:t>
      </w:r>
      <w:proofErr w:type="spellEnd"/>
      <w:r>
        <w:rPr>
          <w:rFonts w:ascii="Book Antiqua" w:hAnsi="Book Antiqua" w:cs="Times New Roman"/>
          <w:i/>
          <w:iCs/>
        </w:rPr>
        <w:t xml:space="preserve"> </w:t>
      </w:r>
      <w:proofErr w:type="spellStart"/>
      <w:r>
        <w:rPr>
          <w:rFonts w:ascii="Book Antiqua" w:hAnsi="Book Antiqua" w:cs="Times New Roman"/>
          <w:i/>
          <w:iCs/>
        </w:rPr>
        <w:t>uruguayensis</w:t>
      </w:r>
      <w:proofErr w:type="spellEnd"/>
      <w:r>
        <w:rPr>
          <w:rFonts w:ascii="Book Antiqua" w:hAnsi="Book Antiqua" w:cs="Times New Roman"/>
        </w:rPr>
        <w:t xml:space="preserve"> males. Since none of the correlations were significant, we did not draw tendency lines.</w:t>
      </w:r>
    </w:p>
    <w:p w14:paraId="7D74482E" w14:textId="77777777" w:rsidR="00FD4D7E" w:rsidRDefault="00FD4D7E" w:rsidP="00CD3BE3">
      <w:pPr>
        <w:spacing w:line="480" w:lineRule="auto"/>
        <w:sectPr w:rsidR="00FD4D7E" w:rsidSect="00997FD8">
          <w:pgSz w:w="12240" w:h="15840"/>
          <w:pgMar w:top="1440" w:right="1440" w:bottom="1440" w:left="1440" w:header="720" w:footer="720" w:gutter="0"/>
          <w:cols w:space="720"/>
          <w:docGrid w:linePitch="360"/>
        </w:sectPr>
      </w:pPr>
    </w:p>
    <w:p w14:paraId="13B5863E" w14:textId="77777777" w:rsidR="007F21FA" w:rsidRDefault="007F21FA" w:rsidP="00CD3BE3">
      <w:pPr>
        <w:spacing w:line="480" w:lineRule="auto"/>
      </w:pPr>
    </w:p>
    <w:sectPr w:rsidR="007F21FA" w:rsidSect="00997FD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mithers, Samuel" w:date="2024-01-31T18:46:00Z" w:initials="SS">
    <w:p w14:paraId="2F5E7F42" w14:textId="77777777" w:rsidR="00990623" w:rsidRDefault="00990623" w:rsidP="00990623">
      <w:pPr>
        <w:pStyle w:val="CommentText"/>
      </w:pPr>
      <w:r>
        <w:rPr>
          <w:rStyle w:val="CommentReference"/>
        </w:rPr>
        <w:annotationRef/>
      </w:r>
      <w:r>
        <w:t xml:space="preserve">The word relative must have been left over from the older analysis. It should be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5E7F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442567" w16cex:dateUtc="2024-01-31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5E7F42" w16cid:durableId="334425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3B3D" w14:textId="77777777" w:rsidR="00997FD8" w:rsidRDefault="00997FD8" w:rsidP="00FD4D7E">
      <w:pPr>
        <w:spacing w:line="240" w:lineRule="auto"/>
      </w:pPr>
      <w:r>
        <w:separator/>
      </w:r>
    </w:p>
  </w:endnote>
  <w:endnote w:type="continuationSeparator" w:id="0">
    <w:p w14:paraId="6261D6B4" w14:textId="77777777" w:rsidR="00997FD8" w:rsidRDefault="00997FD8" w:rsidP="00FD4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9EC5" w14:textId="77777777" w:rsidR="00997FD8" w:rsidRDefault="00997FD8" w:rsidP="00FD4D7E">
      <w:pPr>
        <w:spacing w:line="240" w:lineRule="auto"/>
      </w:pPr>
      <w:r>
        <w:separator/>
      </w:r>
    </w:p>
  </w:footnote>
  <w:footnote w:type="continuationSeparator" w:id="0">
    <w:p w14:paraId="73098CBD" w14:textId="77777777" w:rsidR="00997FD8" w:rsidRDefault="00997FD8" w:rsidP="00FD4D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54F3" w14:textId="6C3AD1F5" w:rsidR="00FD4D7E" w:rsidRPr="00FD4D7E" w:rsidRDefault="00FD4D7E" w:rsidP="00FD4D7E">
    <w:pPr>
      <w:pStyle w:val="Header"/>
      <w:jc w:val="center"/>
      <w:rPr>
        <w:rFonts w:ascii="Book Antiqua" w:hAnsi="Book Antiqua"/>
        <w:b/>
        <w:bCs/>
        <w:sz w:val="24"/>
        <w:szCs w:val="24"/>
      </w:rPr>
    </w:pPr>
    <w:r w:rsidRPr="00FD4D7E">
      <w:rPr>
        <w:rFonts w:ascii="Book Antiqua" w:hAnsi="Book Antiqua"/>
        <w:b/>
        <w:bCs/>
        <w:sz w:val="24"/>
        <w:szCs w:val="24"/>
      </w:rPr>
      <w:t>SUPPLEMENTARY MATERIAL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ers, Samuel">
    <w15:presenceInfo w15:providerId="AD" w15:userId="S::s.smithers@northeastern.edu::5dbe0219-984e-4cf8-9b85-622bdc260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DE"/>
    <w:rsid w:val="00072587"/>
    <w:rsid w:val="001D7B7C"/>
    <w:rsid w:val="00201884"/>
    <w:rsid w:val="004F4B90"/>
    <w:rsid w:val="00544C62"/>
    <w:rsid w:val="00597111"/>
    <w:rsid w:val="005D2F8C"/>
    <w:rsid w:val="006139B2"/>
    <w:rsid w:val="00633E94"/>
    <w:rsid w:val="00636610"/>
    <w:rsid w:val="00734126"/>
    <w:rsid w:val="007F21FA"/>
    <w:rsid w:val="008667DC"/>
    <w:rsid w:val="0094037D"/>
    <w:rsid w:val="00990623"/>
    <w:rsid w:val="00997FD8"/>
    <w:rsid w:val="00A67A16"/>
    <w:rsid w:val="00AB6BFB"/>
    <w:rsid w:val="00B417C7"/>
    <w:rsid w:val="00BA364E"/>
    <w:rsid w:val="00CD3BE3"/>
    <w:rsid w:val="00DF4A17"/>
    <w:rsid w:val="00E3460B"/>
    <w:rsid w:val="00E6346D"/>
    <w:rsid w:val="00F1293B"/>
    <w:rsid w:val="00F22B5D"/>
    <w:rsid w:val="00F536DE"/>
    <w:rsid w:val="00F764B3"/>
    <w:rsid w:val="00FD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CD1"/>
  <w15:chartTrackingRefBased/>
  <w15:docId w15:val="{746F3068-7C37-4060-88FC-663E2765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DE"/>
    <w:pPr>
      <w:widowControl w:val="0"/>
      <w:spacing w:after="0" w:line="276" w:lineRule="auto"/>
    </w:pPr>
    <w:rPr>
      <w:rFonts w:ascii="Arial" w:eastAsia="Arial" w:hAnsi="Arial" w:cs="Arial"/>
      <w:color w:val="00000A"/>
      <w:kern w:val="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F536DE"/>
    <w:rPr>
      <w:rFonts w:cs="Mangal"/>
      <w:color w:val="00000A"/>
      <w:szCs w:val="18"/>
    </w:rPr>
  </w:style>
  <w:style w:type="character" w:styleId="CommentReference">
    <w:name w:val="annotation reference"/>
    <w:basedOn w:val="DefaultParagraphFont"/>
    <w:uiPriority w:val="99"/>
    <w:semiHidden/>
    <w:unhideWhenUsed/>
    <w:qFormat/>
    <w:rsid w:val="00F536DE"/>
    <w:rPr>
      <w:sz w:val="16"/>
      <w:szCs w:val="16"/>
    </w:rPr>
  </w:style>
  <w:style w:type="paragraph" w:styleId="CommentText">
    <w:name w:val="annotation text"/>
    <w:basedOn w:val="Normal"/>
    <w:link w:val="CommentTextChar"/>
    <w:uiPriority w:val="99"/>
    <w:unhideWhenUsed/>
    <w:qFormat/>
    <w:rsid w:val="00F536DE"/>
    <w:pPr>
      <w:spacing w:line="240" w:lineRule="auto"/>
    </w:pPr>
    <w:rPr>
      <w:rFonts w:asciiTheme="minorHAnsi" w:eastAsiaTheme="minorHAnsi" w:hAnsiTheme="minorHAnsi" w:cs="Mangal"/>
      <w:kern w:val="2"/>
      <w:szCs w:val="18"/>
      <w:lang w:eastAsia="en-US" w:bidi="ar-SA"/>
      <w14:ligatures w14:val="standardContextual"/>
    </w:rPr>
  </w:style>
  <w:style w:type="character" w:customStyle="1" w:styleId="CommentTextChar1">
    <w:name w:val="Comment Text Char1"/>
    <w:basedOn w:val="DefaultParagraphFont"/>
    <w:uiPriority w:val="99"/>
    <w:semiHidden/>
    <w:rsid w:val="00F536DE"/>
    <w:rPr>
      <w:rFonts w:ascii="Arial" w:eastAsia="Arial" w:hAnsi="Arial" w:cs="Mangal"/>
      <w:color w:val="00000A"/>
      <w:kern w:val="0"/>
      <w:sz w:val="20"/>
      <w:szCs w:val="18"/>
      <w:lang w:eastAsia="zh-CN" w:bidi="hi-IN"/>
      <w14:ligatures w14:val="none"/>
    </w:rPr>
  </w:style>
  <w:style w:type="table" w:styleId="TableGrid">
    <w:name w:val="Table Grid"/>
    <w:basedOn w:val="TableNormal"/>
    <w:uiPriority w:val="39"/>
    <w:rsid w:val="00F536DE"/>
    <w:pPr>
      <w:spacing w:after="0" w:line="240" w:lineRule="auto"/>
    </w:pPr>
    <w:rPr>
      <w:rFonts w:ascii="Arial" w:eastAsia="Arial" w:hAnsi="Arial" w:cs="Arial"/>
      <w:kern w:val="0"/>
      <w:sz w:val="20"/>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D7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FD4D7E"/>
    <w:rPr>
      <w:rFonts w:ascii="Arial" w:eastAsia="Arial" w:hAnsi="Arial" w:cs="Mangal"/>
      <w:color w:val="00000A"/>
      <w:kern w:val="0"/>
      <w:szCs w:val="20"/>
      <w:lang w:eastAsia="zh-CN" w:bidi="hi-IN"/>
      <w14:ligatures w14:val="none"/>
    </w:rPr>
  </w:style>
  <w:style w:type="paragraph" w:styleId="Footer">
    <w:name w:val="footer"/>
    <w:basedOn w:val="Normal"/>
    <w:link w:val="FooterChar"/>
    <w:uiPriority w:val="99"/>
    <w:unhideWhenUsed/>
    <w:rsid w:val="00FD4D7E"/>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FD4D7E"/>
    <w:rPr>
      <w:rFonts w:ascii="Arial" w:eastAsia="Arial" w:hAnsi="Arial" w:cs="Mangal"/>
      <w:color w:val="00000A"/>
      <w:kern w:val="0"/>
      <w:szCs w:val="20"/>
      <w:lang w:eastAsia="zh-CN" w:bidi="hi-IN"/>
      <w14:ligatures w14:val="none"/>
    </w:rPr>
  </w:style>
  <w:style w:type="paragraph" w:styleId="CommentSubject">
    <w:name w:val="annotation subject"/>
    <w:basedOn w:val="CommentText"/>
    <w:next w:val="CommentText"/>
    <w:link w:val="CommentSubjectChar"/>
    <w:uiPriority w:val="99"/>
    <w:semiHidden/>
    <w:unhideWhenUsed/>
    <w:rsid w:val="00597111"/>
    <w:rPr>
      <w:rFonts w:ascii="Arial" w:eastAsia="Arial" w:hAnsi="Arial"/>
      <w:b/>
      <w:bCs/>
      <w:kern w:val="0"/>
      <w:sz w:val="20"/>
      <w:lang w:eastAsia="zh-CN" w:bidi="hi-IN"/>
      <w14:ligatures w14:val="none"/>
    </w:rPr>
  </w:style>
  <w:style w:type="character" w:customStyle="1" w:styleId="CommentSubjectChar">
    <w:name w:val="Comment Subject Char"/>
    <w:basedOn w:val="CommentTextChar"/>
    <w:link w:val="CommentSubject"/>
    <w:uiPriority w:val="99"/>
    <w:semiHidden/>
    <w:rsid w:val="00597111"/>
    <w:rPr>
      <w:rFonts w:ascii="Arial" w:eastAsia="Arial" w:hAnsi="Arial" w:cs="Mangal"/>
      <w:b/>
      <w:bCs/>
      <w:color w:val="00000A"/>
      <w:kern w:val="0"/>
      <w:sz w:val="20"/>
      <w:szCs w:val="18"/>
      <w:lang w:eastAsia="zh-CN" w:bidi="hi-IN"/>
      <w14:ligatures w14:val="none"/>
    </w:rPr>
  </w:style>
  <w:style w:type="paragraph" w:styleId="Revision">
    <w:name w:val="Revision"/>
    <w:hidden/>
    <w:uiPriority w:val="99"/>
    <w:semiHidden/>
    <w:rsid w:val="004F4B90"/>
    <w:pPr>
      <w:spacing w:after="0" w:line="240" w:lineRule="auto"/>
    </w:pPr>
    <w:rPr>
      <w:rFonts w:ascii="Arial" w:eastAsia="Arial" w:hAnsi="Arial" w:cs="Mangal"/>
      <w:color w:val="00000A"/>
      <w:kern w:val="0"/>
      <w:szCs w:val="2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Graham</dc:creator>
  <cp:keywords/>
  <dc:description/>
  <cp:lastModifiedBy>Alexandre Palaoro</cp:lastModifiedBy>
  <cp:revision>9</cp:revision>
  <dcterms:created xsi:type="dcterms:W3CDTF">2024-01-31T23:44:00Z</dcterms:created>
  <dcterms:modified xsi:type="dcterms:W3CDTF">2024-02-20T15:10:00Z</dcterms:modified>
</cp:coreProperties>
</file>