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Arial" w:cs="Arial" w:eastAsia="Arial" w:hAnsi="Arial"/>
          <w:b w:val="1"/>
          <w:bCs w:val="1"/>
          <w:color w:val="1b2a4a"/>
          <w:sz w:val="22"/>
          <w:szCs w:val="22"/>
          <w:rtl w:val="0"/>
        </w:rPr>
        <w:t xml:space="preserve">RELATÓRIO </w:t>
      </w:r>
      <w:r w:rsidDel="00000000" w:rsidR="00000000" w:rsidRPr="00000000">
        <w:rPr>
          <w:b w:val="1"/>
          <w:bCs w:val="1"/>
          <w:color w:val="1b2a4a"/>
          <w:sz w:val="22"/>
          <w:szCs w:val="22"/>
          <w:rtl w:val="0"/>
        </w:rPr>
        <w:t xml:space="preserve">DE INTELIGÊNCIA</w:t>
      </w:r>
      <w:r w:rsidDel="00000000" w:rsidR="00000000" w:rsidRPr="00000000">
        <w:rPr>
          <w:rFonts w:ascii="Arial" w:cs="Arial" w:eastAsia="Arial" w:hAnsi="Arial"/>
          <w:b w:val="1"/>
          <w:bCs w:val="1"/>
          <w:color w:val="1b2a4a"/>
          <w:sz w:val="22"/>
          <w:szCs w:val="22"/>
          <w:rtl w:val="0"/>
        </w:rPr>
        <w:t xml:space="preserve"> DE ÁREA – COMPSTAT – DADOS PÚBLICOS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sz w:val="20"/>
                <w:szCs w:val="20"/>
                <w:rtl w:val="0"/>
              </w:rPr>
              <w:t xml:space="preserve">RELATÓRIO DE </w:t>
            </w:r>
            <w:r w:rsidDel="00000000" w:rsidR="00000000" w:rsidRPr="00000000">
              <w:rPr>
                <w:b w:val="1"/>
                <w:bCs w:val="1"/>
                <w:rtl w:val="0"/>
              </w:rPr>
              <w:t xml:space="preserve">INTELIGÊNCIA </w:t>
            </w:r>
            <w:r w:rsidDel="00000000" w:rsidR="00000000" w:rsidRPr="00000000">
              <w:rPr>
                <w:rFonts w:ascii="Arial" w:cs="Arial" w:eastAsia="Arial" w:hAnsi="Arial"/>
                <w:b w:val="1"/>
                <w:bCs w:val="1"/>
                <w:sz w:val="20"/>
                <w:szCs w:val="20"/>
                <w:rtl w:val="0"/>
              </w:rPr>
              <w:t xml:space="preserve">DE ÁREA</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sz w:val="20"/>
                <w:szCs w:val="20"/>
                <w:rtl w:val="0"/>
              </w:rPr>
              <w:t xml:space="preserve">Subsídio para Reunião de CompStat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b w:val="1"/>
                <w:bCs w:val="1"/>
                <w:sz w:val="20"/>
                <w:szCs w:val="20"/>
                <w:rtl w:val="0"/>
              </w:rPr>
              <w:t xml:space="preserve">PRESIDENTE VARGAS – CAMPO DE SANTANA – CENTRAL – CINELÂNDIA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5">
            <w:pPr>
              <w:spacing w:after="120" w:line="276" w:lineRule="auto"/>
              <w:jc w:val="both"/>
              <w:rPr/>
            </w:pPr>
            <w:r w:rsidDel="00000000" w:rsidR="00000000" w:rsidRPr="00000000">
              <w:rPr>
                <w:rFonts w:ascii="Arial" w:cs="Arial" w:eastAsia="Arial" w:hAnsi="Arial"/>
                <w:sz w:val="20"/>
                <w:szCs w:val="20"/>
                <w:rtl w:val="0"/>
              </w:rPr>
              <w:t xml:space="preserve">A presente análise territorial visa identificar fatores urbanos, dinâmica criminal e vulnerabilidades relacionadas à sensação de segurança da população, considerando áreas de grande circulação de pedestres e integração com o transporte público. Foram observados fatores associados à incidência de furtos e roubos contra transeuntes, especialmente subtração de aparelhos celulares, além de elementos urbanos que favorecem delitos oportunistas.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6">
            <w:pPr>
              <w:spacing w:after="60" w:line="276" w:lineRule="auto"/>
              <w:rPr/>
            </w:pPr>
            <w:r w:rsidDel="00000000" w:rsidR="00000000" w:rsidRPr="00000000">
              <w:rPr>
                <w:rFonts w:ascii="Arial" w:cs="Arial" w:eastAsia="Arial" w:hAnsi="Arial"/>
                <w:b w:val="1"/>
                <w:bCs w:val="1"/>
                <w:sz w:val="20"/>
                <w:szCs w:val="20"/>
                <w:rtl w:val="0"/>
              </w:rPr>
              <w:t xml:space="preserve">AVENIDA PRESIDENTE VARGAS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7">
            <w:pPr>
              <w:spacing w:after="120" w:line="276" w:lineRule="auto"/>
              <w:jc w:val="both"/>
              <w:rPr/>
            </w:pPr>
            <w:r w:rsidDel="00000000" w:rsidR="00000000" w:rsidRPr="00000000">
              <w:rPr>
                <w:rFonts w:ascii="Arial" w:cs="Arial" w:eastAsia="Arial" w:hAnsi="Arial"/>
                <w:sz w:val="20"/>
                <w:szCs w:val="20"/>
                <w:rtl w:val="0"/>
              </w:rPr>
              <w:t xml:space="preserve">A Avenida Presidente Vargas concentra intenso fluxo de pedestres e usuários do transporte público, favorecendo furtos e roubos de celulares em pontos de ônibus e calçadas. Com extensão de 4,5 km entre a Praça da República e o Cais do Porto, a via é a principal artéria do Centro e opera como rota de escape para criminosos após ações nas ruas adjacentes. O cruzamento com a Rua Uruguaiana (altura do nº 580) funciona como ponto de escoamento de produtos subtraídos para o Camelódromo da Uruguaiana, maior polo de receptação de celulares furtados do estado, conforme identificado em investigações da Polícia Civil. Registros de roubos a pedestres com arma branca foram documentados no trecho entre os nºs 500 e 1.500, próximo ao metrô da Cidade Nova (Rua Senador Pompeu, s/n). Em 2025, mais de 5.000 furtos foram registrados no Centro — alta de 36% em relação ao período anterior, segundo dados do Instituto de Segurança Pública.</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r>
          </w:p>
          <w:p w:rsidR="00000000" w:rsidDel="00000000" w:rsidP="00000000" w:rsidRDefault="00000000" w:rsidRPr="00000000" w14:paraId="00000009">
            <w:pPr>
              <w:spacing w:after="60" w:line="276" w:lineRule="auto"/>
              <w:rPr/>
            </w:pPr>
            <w:r w:rsidDel="00000000" w:rsidR="00000000" w:rsidRPr="00000000">
              <w:rPr>
                <w:rFonts w:ascii="Arial" w:cs="Arial" w:eastAsia="Arial" w:hAnsi="Arial"/>
                <w:sz w:val="20"/>
                <w:szCs w:val="20"/>
                <w:rtl w:val="0"/>
              </w:rPr>
              <w:t xml:space="preserve">Também foram identificados:</w:t>
            </w:r>
            <w:r w:rsidDel="00000000" w:rsidR="00000000" w:rsidRPr="00000000">
              <w:rPr>
                <w:rtl w:val="0"/>
              </w:rPr>
            </w:r>
          </w:p>
          <w:p w:rsidR="00000000" w:rsidDel="00000000" w:rsidP="00000000" w:rsidRDefault="00000000" w:rsidRPr="00000000" w14:paraId="0000000A">
            <w:pPr>
              <w:spacing w:after="40" w:line="276" w:lineRule="auto"/>
              <w:ind w:left="360" w:firstLine="0"/>
              <w:rPr/>
            </w:pPr>
            <w:r w:rsidDel="00000000" w:rsidR="00000000" w:rsidRPr="00000000">
              <w:rPr>
                <w:rFonts w:ascii="Arial" w:cs="Arial" w:eastAsia="Arial" w:hAnsi="Arial"/>
                <w:sz w:val="20"/>
                <w:szCs w:val="20"/>
                <w:rtl w:val="0"/>
              </w:rPr>
              <w:t xml:space="preserve">• retenção de fluxo em horários de pico — pontos de ônibus ao longo de toda a extensão da via;</w:t>
            </w:r>
            <w:r w:rsidDel="00000000" w:rsidR="00000000" w:rsidRPr="00000000">
              <w:rPr>
                <w:rtl w:val="0"/>
              </w:rPr>
            </w:r>
          </w:p>
          <w:p w:rsidR="00000000" w:rsidDel="00000000" w:rsidP="00000000" w:rsidRDefault="00000000" w:rsidRPr="00000000" w14:paraId="0000000B">
            <w:pPr>
              <w:spacing w:after="40" w:line="276" w:lineRule="auto"/>
              <w:ind w:left="360" w:firstLine="0"/>
              <w:rPr/>
            </w:pPr>
            <w:r w:rsidDel="00000000" w:rsidR="00000000" w:rsidRPr="00000000">
              <w:rPr>
                <w:rFonts w:ascii="Arial" w:cs="Arial" w:eastAsia="Arial" w:hAnsi="Arial"/>
                <w:sz w:val="20"/>
                <w:szCs w:val="20"/>
                <w:rtl w:val="0"/>
              </w:rPr>
              <w:t xml:space="preserve">• áreas com baixa visibilidade — trechos sob marquises, estruturas elevadas e passarelas;</w:t>
            </w:r>
            <w:r w:rsidDel="00000000" w:rsidR="00000000" w:rsidRPr="00000000">
              <w:rPr>
                <w:rtl w:val="0"/>
              </w:rPr>
            </w:r>
          </w:p>
          <w:p w:rsidR="00000000" w:rsidDel="00000000" w:rsidP="00000000" w:rsidRDefault="00000000" w:rsidRPr="00000000" w14:paraId="0000000C">
            <w:pPr>
              <w:spacing w:after="40" w:line="276" w:lineRule="auto"/>
              <w:ind w:left="360" w:firstLine="0"/>
              <w:rPr/>
            </w:pPr>
            <w:r w:rsidDel="00000000" w:rsidR="00000000" w:rsidRPr="00000000">
              <w:rPr>
                <w:rFonts w:ascii="Arial" w:cs="Arial" w:eastAsia="Arial" w:hAnsi="Arial"/>
                <w:sz w:val="20"/>
                <w:szCs w:val="20"/>
                <w:rtl w:val="0"/>
              </w:rPr>
              <w:t xml:space="preserve">• obstáculos urbanos dificultando vigilância — ambulantes irregulares obstruindo calçadas e comprometendo visibilidade;</w:t>
            </w:r>
            <w:r w:rsidDel="00000000" w:rsidR="00000000" w:rsidRPr="00000000">
              <w:rPr>
                <w:rtl w:val="0"/>
              </w:rPr>
            </w:r>
          </w:p>
          <w:p w:rsidR="00000000" w:rsidDel="00000000" w:rsidP="00000000" w:rsidRDefault="00000000" w:rsidRPr="00000000" w14:paraId="0000000D">
            <w:pPr>
              <w:spacing w:after="40" w:line="276" w:lineRule="auto"/>
              <w:ind w:left="360" w:firstLine="0"/>
              <w:rPr/>
            </w:pPr>
            <w:r w:rsidDel="00000000" w:rsidR="00000000" w:rsidRPr="00000000">
              <w:rPr>
                <w:rFonts w:ascii="Arial" w:cs="Arial" w:eastAsia="Arial" w:hAnsi="Arial"/>
                <w:sz w:val="20"/>
                <w:szCs w:val="20"/>
                <w:rtl w:val="0"/>
              </w:rPr>
              <w:t xml:space="preserve">• circulação intensa de motocicletas e bicicletas — incluindo motocicletas com placas adulteradas identificadas no corredor;</w:t>
            </w:r>
            <w:r w:rsidDel="00000000" w:rsidR="00000000" w:rsidRPr="00000000">
              <w:rPr>
                <w:rtl w:val="0"/>
              </w:rPr>
            </w:r>
          </w:p>
          <w:p w:rsidR="00000000" w:rsidDel="00000000" w:rsidP="00000000" w:rsidRDefault="00000000" w:rsidRPr="00000000" w14:paraId="0000000E">
            <w:pPr>
              <w:spacing w:after="40" w:line="276" w:lineRule="auto"/>
              <w:ind w:left="360" w:firstLine="0"/>
              <w:rPr/>
            </w:pPr>
            <w:r w:rsidDel="00000000" w:rsidR="00000000" w:rsidRPr="00000000">
              <w:rPr>
                <w:rFonts w:ascii="Arial" w:cs="Arial" w:eastAsia="Arial" w:hAnsi="Arial"/>
                <w:sz w:val="20"/>
                <w:szCs w:val="20"/>
                <w:rtl w:val="0"/>
              </w:rPr>
              <w:t xml:space="preserve">• múltiplas rotas de dispersão após a prática criminosa — vias transversais a cada quadra viabilizam fuga imediata.</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rFonts w:ascii="Arial" w:cs="Arial" w:eastAsia="Arial" w:hAnsi="Arial"/>
                <w:sz w:val="20"/>
                <w:szCs w:val="20"/>
                <w:rtl w:val="0"/>
              </w:rPr>
              <w:t xml:space="preserve">A dinâmica criminal observada indica predominância de indivíduos atuando a pé, motocicletas e bicicletas, aproveitando momentos de distração das vítimas em áreas de espera, travessias e acessos ao transporte público.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11">
            <w:pPr>
              <w:spacing w:after="60" w:line="276" w:lineRule="auto"/>
              <w:rPr/>
            </w:pPr>
            <w:r w:rsidDel="00000000" w:rsidR="00000000" w:rsidRPr="00000000">
              <w:rPr>
                <w:rFonts w:ascii="Arial" w:cs="Arial" w:eastAsia="Arial" w:hAnsi="Arial"/>
                <w:b w:val="1"/>
                <w:bCs w:val="1"/>
                <w:sz w:val="20"/>
                <w:szCs w:val="20"/>
                <w:rtl w:val="0"/>
              </w:rPr>
              <w:t xml:space="preserve">CAMPO DE SANTANA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12">
            <w:pPr>
              <w:spacing w:after="120" w:line="276" w:lineRule="auto"/>
              <w:jc w:val="both"/>
              <w:rPr/>
            </w:pPr>
            <w:r w:rsidDel="00000000" w:rsidR="00000000" w:rsidRPr="00000000">
              <w:rPr>
                <w:rFonts w:ascii="Arial" w:cs="Arial" w:eastAsia="Arial" w:hAnsi="Arial"/>
                <w:sz w:val="20"/>
                <w:szCs w:val="20"/>
                <w:rtl w:val="0"/>
              </w:rPr>
              <w:t xml:space="preserve">O Campo de Santana (Praça da República, s/n), tombado pelo INEPAC (1968) e pelo IPHAN (2012), apresenta vegetação densa e áreas abertas utilizadas para dispersão após delitos praticados nas vias adjacentes. Vistoria realizada pela Comissão de Assuntos Urbanos da Câmara Municipal em junho de 2025 constatou presença de população em situação de rua (PSR) em múltiplos pontos do parque, usuários de entorpecentes com abordagens agressivas a transeuntes, lixo acumulado em grande volume e falha grave na iluminação de setores internos. O parque é considerado um dos logradouros mais perigosos do Centro, com alto número de assaltos registrados em seu interior. Os pontos de ônibus na Av. Marechal Floriano (fronteira sul) e na Av. Presidente Vargas (fronteira norte) apresentam grande concentração de usuários que cruzam o parque diariamente, tornando o trajeto de risco permanente.</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tl w:val="0"/>
              </w:rPr>
            </w:r>
          </w:p>
          <w:p w:rsidR="00000000" w:rsidDel="00000000" w:rsidP="00000000" w:rsidRDefault="00000000" w:rsidRPr="00000000" w14:paraId="00000014">
            <w:pPr>
              <w:spacing w:after="60" w:line="276" w:lineRule="auto"/>
              <w:rPr/>
            </w:pPr>
            <w:r w:rsidDel="00000000" w:rsidR="00000000" w:rsidRPr="00000000">
              <w:rPr>
                <w:rFonts w:ascii="Arial" w:cs="Arial" w:eastAsia="Arial" w:hAnsi="Arial"/>
                <w:sz w:val="20"/>
                <w:szCs w:val="20"/>
                <w:rtl w:val="0"/>
              </w:rPr>
              <w:t xml:space="preserve">Também foram identificados:</w:t>
            </w:r>
            <w:r w:rsidDel="00000000" w:rsidR="00000000" w:rsidRPr="00000000">
              <w:rPr>
                <w:rtl w:val="0"/>
              </w:rPr>
            </w:r>
          </w:p>
          <w:p w:rsidR="00000000" w:rsidDel="00000000" w:rsidP="00000000" w:rsidRDefault="00000000" w:rsidRPr="00000000" w14:paraId="00000015">
            <w:pPr>
              <w:spacing w:after="40" w:line="276" w:lineRule="auto"/>
              <w:ind w:left="360" w:firstLine="0"/>
              <w:rPr/>
            </w:pPr>
            <w:r w:rsidDel="00000000" w:rsidR="00000000" w:rsidRPr="00000000">
              <w:rPr>
                <w:rFonts w:ascii="Arial" w:cs="Arial" w:eastAsia="Arial" w:hAnsi="Arial"/>
                <w:sz w:val="20"/>
                <w:szCs w:val="20"/>
                <w:rtl w:val="0"/>
              </w:rPr>
              <w:t xml:space="preserve">• retenção de fluxo em horários de pico — pedestres cruzando o parque entre os terminais de ônibus adjacentes;</w:t>
            </w:r>
            <w:r w:rsidDel="00000000" w:rsidR="00000000" w:rsidRPr="00000000">
              <w:rPr>
                <w:rtl w:val="0"/>
              </w:rPr>
            </w:r>
          </w:p>
          <w:p w:rsidR="00000000" w:rsidDel="00000000" w:rsidP="00000000" w:rsidRDefault="00000000" w:rsidRPr="00000000" w14:paraId="00000016">
            <w:pPr>
              <w:spacing w:after="40" w:line="276" w:lineRule="auto"/>
              <w:ind w:left="360" w:firstLine="0"/>
              <w:rPr/>
            </w:pPr>
            <w:r w:rsidDel="00000000" w:rsidR="00000000" w:rsidRPr="00000000">
              <w:rPr>
                <w:rFonts w:ascii="Arial" w:cs="Arial" w:eastAsia="Arial" w:hAnsi="Arial"/>
                <w:sz w:val="20"/>
                <w:szCs w:val="20"/>
                <w:rtl w:val="0"/>
              </w:rPr>
              <w:t xml:space="preserve">• áreas com baixa visibilidade — setores internos sem iluminação e vegetação densa favorecendo abordagens noturnas;</w:t>
            </w:r>
            <w:r w:rsidDel="00000000" w:rsidR="00000000" w:rsidRPr="00000000">
              <w:rPr>
                <w:rtl w:val="0"/>
              </w:rPr>
            </w:r>
          </w:p>
          <w:p w:rsidR="00000000" w:rsidDel="00000000" w:rsidP="00000000" w:rsidRDefault="00000000" w:rsidRPr="00000000" w14:paraId="00000017">
            <w:pPr>
              <w:spacing w:after="40" w:line="276" w:lineRule="auto"/>
              <w:ind w:left="360" w:firstLine="0"/>
              <w:rPr/>
            </w:pPr>
            <w:r w:rsidDel="00000000" w:rsidR="00000000" w:rsidRPr="00000000">
              <w:rPr>
                <w:rFonts w:ascii="Arial" w:cs="Arial" w:eastAsia="Arial" w:hAnsi="Arial"/>
                <w:sz w:val="20"/>
                <w:szCs w:val="20"/>
                <w:rtl w:val="0"/>
              </w:rPr>
              <w:t xml:space="preserve">• obstáculos urbanos dificultando vigilância — bancos e estruturas de lazer ocupados por PSR como pontos fixos;</w:t>
            </w:r>
            <w:r w:rsidDel="00000000" w:rsidR="00000000" w:rsidRPr="00000000">
              <w:rPr>
                <w:rtl w:val="0"/>
              </w:rPr>
            </w:r>
          </w:p>
          <w:p w:rsidR="00000000" w:rsidDel="00000000" w:rsidP="00000000" w:rsidRDefault="00000000" w:rsidRPr="00000000" w14:paraId="00000018">
            <w:pPr>
              <w:spacing w:after="40" w:line="276" w:lineRule="auto"/>
              <w:ind w:left="360" w:firstLine="0"/>
              <w:rPr/>
            </w:pPr>
            <w:r w:rsidDel="00000000" w:rsidR="00000000" w:rsidRPr="00000000">
              <w:rPr>
                <w:rFonts w:ascii="Arial" w:cs="Arial" w:eastAsia="Arial" w:hAnsi="Arial"/>
                <w:sz w:val="20"/>
                <w:szCs w:val="20"/>
                <w:rtl w:val="0"/>
              </w:rPr>
              <w:t xml:space="preserve">• circulação intensa de motocicletas e bicicletas — vias do entorno utilizadas como corredores de fuga após delitos;</w:t>
            </w:r>
            <w:r w:rsidDel="00000000" w:rsidR="00000000" w:rsidRPr="00000000">
              <w:rPr>
                <w:rtl w:val="0"/>
              </w:rPr>
            </w:r>
          </w:p>
          <w:p w:rsidR="00000000" w:rsidDel="00000000" w:rsidP="00000000" w:rsidRDefault="00000000" w:rsidRPr="00000000" w14:paraId="00000019">
            <w:pPr>
              <w:spacing w:after="40" w:line="276" w:lineRule="auto"/>
              <w:ind w:left="360" w:firstLine="0"/>
              <w:rPr/>
            </w:pPr>
            <w:r w:rsidDel="00000000" w:rsidR="00000000" w:rsidRPr="00000000">
              <w:rPr>
                <w:rFonts w:ascii="Arial" w:cs="Arial" w:eastAsia="Arial" w:hAnsi="Arial"/>
                <w:sz w:val="20"/>
                <w:szCs w:val="20"/>
                <w:rtl w:val="0"/>
              </w:rPr>
              <w:t xml:space="preserve">• múltiplas rotas de dispersão após a prática criminosa — saídas abertas para a Av. Presidente Vargas e Av. Marechal Floriano.</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spacing w:after="120" w:line="276" w:lineRule="auto"/>
              <w:jc w:val="both"/>
              <w:rPr/>
            </w:pPr>
            <w:r w:rsidDel="00000000" w:rsidR="00000000" w:rsidRPr="00000000">
              <w:rPr>
                <w:rFonts w:ascii="Arial" w:cs="Arial" w:eastAsia="Arial" w:hAnsi="Arial"/>
                <w:sz w:val="20"/>
                <w:szCs w:val="20"/>
                <w:rtl w:val="0"/>
              </w:rPr>
              <w:t xml:space="preserve">A dinâmica criminal observada indica predominância de indivíduos atuando a pé, motocicletas e bicicletas, aproveitando momentos de distração das vítimas em áreas de espera, travessias e acessos ao transporte público.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1C">
            <w:pPr>
              <w:spacing w:after="60" w:line="276" w:lineRule="auto"/>
              <w:rPr/>
            </w:pPr>
            <w:r w:rsidDel="00000000" w:rsidR="00000000" w:rsidRPr="00000000">
              <w:rPr>
                <w:rFonts w:ascii="Arial" w:cs="Arial" w:eastAsia="Arial" w:hAnsi="Arial"/>
                <w:b w:val="1"/>
                <w:bCs w:val="1"/>
                <w:sz w:val="20"/>
                <w:szCs w:val="20"/>
                <w:rtl w:val="0"/>
              </w:rPr>
              <w:t xml:space="preserve">CENTRAL DO BRASIL / CINELÂNDIA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1D">
            <w:pPr>
              <w:spacing w:after="120" w:line="276" w:lineRule="auto"/>
              <w:jc w:val="both"/>
              <w:rPr/>
            </w:pPr>
            <w:r w:rsidDel="00000000" w:rsidR="00000000" w:rsidRPr="00000000">
              <w:rPr>
                <w:rFonts w:ascii="Arial" w:cs="Arial" w:eastAsia="Arial" w:hAnsi="Arial"/>
                <w:sz w:val="20"/>
                <w:szCs w:val="20"/>
                <w:rtl w:val="0"/>
              </w:rPr>
              <w:t xml:space="preserve">Os acessos à Central do Brasil (Praça Cristiano Ottoni, s/n) e à Cinelândia (Praça Floriano, s/n) apresentam grande circulação de pessoas, comércio irregular e múltiplas rotas de evasão utilizadas após a prática criminosa. A Central do Brasil integra os ramais da SuperVia, as Linhas 1 e 2 do MetrôRio e o VLT Carioca, com fluxo superior a 600 mil passageiros diários — o maior nó de transporte público do país. Grupos de furtadores e menores infratores operam em bando nas proximidades das catracas e acessos externos, especialmente nos horários de pico (07h–09h e 17h–20h). Na Cinelândia, os registros de furtos e roubos cresceram 46% no Carnaval de 2025, com a região respondendo por 33% das ocorrências da cidade (contra 26% no ano anterior), demandando reuniões consecutivas na Câmara Municipal para discussão de plano emergencial de segurança.</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tl w:val="0"/>
              </w:rPr>
            </w:r>
          </w:p>
          <w:p w:rsidR="00000000" w:rsidDel="00000000" w:rsidP="00000000" w:rsidRDefault="00000000" w:rsidRPr="00000000" w14:paraId="0000001F">
            <w:pPr>
              <w:spacing w:after="60" w:line="276" w:lineRule="auto"/>
              <w:rPr/>
            </w:pPr>
            <w:r w:rsidDel="00000000" w:rsidR="00000000" w:rsidRPr="00000000">
              <w:rPr>
                <w:rFonts w:ascii="Arial" w:cs="Arial" w:eastAsia="Arial" w:hAnsi="Arial"/>
                <w:sz w:val="20"/>
                <w:szCs w:val="20"/>
                <w:rtl w:val="0"/>
              </w:rPr>
              <w:t xml:space="preserve">Também foram identificados:</w:t>
            </w:r>
            <w:r w:rsidDel="00000000" w:rsidR="00000000" w:rsidRPr="00000000">
              <w:rPr>
                <w:rtl w:val="0"/>
              </w:rPr>
            </w:r>
          </w:p>
          <w:p w:rsidR="00000000" w:rsidDel="00000000" w:rsidP="00000000" w:rsidRDefault="00000000" w:rsidRPr="00000000" w14:paraId="00000020">
            <w:pPr>
              <w:spacing w:after="40" w:line="276" w:lineRule="auto"/>
              <w:ind w:left="360" w:firstLine="0"/>
              <w:rPr/>
            </w:pPr>
            <w:r w:rsidDel="00000000" w:rsidR="00000000" w:rsidRPr="00000000">
              <w:rPr>
                <w:rFonts w:ascii="Arial" w:cs="Arial" w:eastAsia="Arial" w:hAnsi="Arial"/>
                <w:sz w:val="20"/>
                <w:szCs w:val="20"/>
                <w:rtl w:val="0"/>
              </w:rPr>
              <w:t xml:space="preserve">• retenção de fluxo em horários de pico — 600 mil passageiros/dia na Central do Brasil, maior nó de transporte do país;</w:t>
            </w:r>
            <w:r w:rsidDel="00000000" w:rsidR="00000000" w:rsidRPr="00000000">
              <w:rPr>
                <w:rtl w:val="0"/>
              </w:rPr>
            </w:r>
          </w:p>
          <w:p w:rsidR="00000000" w:rsidDel="00000000" w:rsidP="00000000" w:rsidRDefault="00000000" w:rsidRPr="00000000" w14:paraId="00000021">
            <w:pPr>
              <w:spacing w:after="40" w:line="276" w:lineRule="auto"/>
              <w:ind w:left="360" w:firstLine="0"/>
              <w:rPr/>
            </w:pPr>
            <w:r w:rsidDel="00000000" w:rsidR="00000000" w:rsidRPr="00000000">
              <w:rPr>
                <w:rFonts w:ascii="Arial" w:cs="Arial" w:eastAsia="Arial" w:hAnsi="Arial"/>
                <w:sz w:val="20"/>
                <w:szCs w:val="20"/>
                <w:rtl w:val="0"/>
              </w:rPr>
              <w:t xml:space="preserve">• áreas com baixa visibilidade — corredores internos da estação e entorno da Praça Floriano no período noturno;</w:t>
            </w:r>
            <w:r w:rsidDel="00000000" w:rsidR="00000000" w:rsidRPr="00000000">
              <w:rPr>
                <w:rtl w:val="0"/>
              </w:rPr>
            </w:r>
          </w:p>
          <w:p w:rsidR="00000000" w:rsidDel="00000000" w:rsidP="00000000" w:rsidRDefault="00000000" w:rsidRPr="00000000" w14:paraId="00000022">
            <w:pPr>
              <w:spacing w:after="40" w:line="276" w:lineRule="auto"/>
              <w:ind w:left="360" w:firstLine="0"/>
              <w:rPr/>
            </w:pPr>
            <w:r w:rsidDel="00000000" w:rsidR="00000000" w:rsidRPr="00000000">
              <w:rPr>
                <w:rFonts w:ascii="Arial" w:cs="Arial" w:eastAsia="Arial" w:hAnsi="Arial"/>
                <w:sz w:val="20"/>
                <w:szCs w:val="20"/>
                <w:rtl w:val="0"/>
              </w:rPr>
              <w:t xml:space="preserve">• obstáculos urbanos dificultando vigilância — comércio irregular nos acessos criando pontos cegos para a fiscalização;</w:t>
            </w:r>
            <w:r w:rsidDel="00000000" w:rsidR="00000000" w:rsidRPr="00000000">
              <w:rPr>
                <w:rtl w:val="0"/>
              </w:rPr>
            </w:r>
          </w:p>
          <w:p w:rsidR="00000000" w:rsidDel="00000000" w:rsidP="00000000" w:rsidRDefault="00000000" w:rsidRPr="00000000" w14:paraId="00000023">
            <w:pPr>
              <w:spacing w:after="40" w:line="276" w:lineRule="auto"/>
              <w:ind w:left="360" w:firstLine="0"/>
              <w:rPr/>
            </w:pPr>
            <w:r w:rsidDel="00000000" w:rsidR="00000000" w:rsidRPr="00000000">
              <w:rPr>
                <w:rFonts w:ascii="Arial" w:cs="Arial" w:eastAsia="Arial" w:hAnsi="Arial"/>
                <w:sz w:val="20"/>
                <w:szCs w:val="20"/>
                <w:rtl w:val="0"/>
              </w:rPr>
              <w:t xml:space="preserve">• circulação intensa de motocicletas e bicicletas — VLT e bicicletas utilizados como rotas de fuga após a prática criminosa;</w:t>
            </w:r>
            <w:r w:rsidDel="00000000" w:rsidR="00000000" w:rsidRPr="00000000">
              <w:rPr>
                <w:rtl w:val="0"/>
              </w:rPr>
            </w:r>
          </w:p>
          <w:p w:rsidR="00000000" w:rsidDel="00000000" w:rsidP="00000000" w:rsidRDefault="00000000" w:rsidRPr="00000000" w14:paraId="00000024">
            <w:pPr>
              <w:spacing w:after="40" w:line="276" w:lineRule="auto"/>
              <w:ind w:left="360" w:firstLine="0"/>
              <w:rPr/>
            </w:pPr>
            <w:r w:rsidDel="00000000" w:rsidR="00000000" w:rsidRPr="00000000">
              <w:rPr>
                <w:rFonts w:ascii="Arial" w:cs="Arial" w:eastAsia="Arial" w:hAnsi="Arial"/>
                <w:sz w:val="20"/>
                <w:szCs w:val="20"/>
                <w:rtl w:val="0"/>
              </w:rPr>
              <w:t xml:space="preserve">• múltiplas rotas de dispersão após a prática criminosa — convergência de múltiplos modais viabiliza fuga em qualquer direção.</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rFonts w:ascii="Arial" w:cs="Arial" w:eastAsia="Arial" w:hAnsi="Arial"/>
                <w:sz w:val="20"/>
                <w:szCs w:val="20"/>
                <w:rtl w:val="0"/>
              </w:rPr>
              <w:t xml:space="preserve">A dinâmica criminal observada indica predominância de indivíduos atuando a pé, motocicletas e bicicletas, aproveitando momentos de distração das vítimas em áreas de espera, travessias e acessos ao transporte público.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27">
            <w:pPr>
              <w:spacing w:after="60" w:line="276" w:lineRule="auto"/>
              <w:rPr/>
            </w:pPr>
            <w:r w:rsidDel="00000000" w:rsidR="00000000" w:rsidRPr="00000000">
              <w:rPr>
                <w:rFonts w:ascii="Arial" w:cs="Arial" w:eastAsia="Arial" w:hAnsi="Arial"/>
                <w:b w:val="1"/>
                <w:bCs w:val="1"/>
                <w:sz w:val="20"/>
                <w:szCs w:val="20"/>
                <w:rtl w:val="0"/>
              </w:rPr>
              <w:t xml:space="preserve">CONCLUSÃO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28">
            <w:pPr>
              <w:spacing w:after="120" w:line="276" w:lineRule="auto"/>
              <w:jc w:val="both"/>
              <w:rPr/>
            </w:pPr>
            <w:r w:rsidDel="00000000" w:rsidR="00000000" w:rsidRPr="00000000">
              <w:rPr>
                <w:rFonts w:ascii="Arial" w:cs="Arial" w:eastAsia="Arial" w:hAnsi="Arial"/>
                <w:sz w:val="20"/>
                <w:szCs w:val="20"/>
                <w:rtl w:val="0"/>
              </w:rPr>
              <w:t xml:space="preserve">A área analisada apresenta fatores urbanos e territoriais que favorecem delitos oportunistas, especialmente furtos e roubos de aparelhos celulares contra pedestres. A Av. Presidente Vargas opera como corredor de escoamento de produtos subtraídos para o Camelódromo da Uruguaiana; o Campo de Santana, em situação de abandono, funciona como ponto de apoio e dispersão; e a Central do Brasil concentra o maior fluxo de passageiros do país em um nó de múltiplas rotas de fuga — configurando o perímetro de maior complexidade operacional dentre os mapeados. O crescimento de 46% nos registros de furtos e roubos na Cinelândia no Carnaval de 2025 evidencia tendência de agravamento que demanda resposta imediata. Observa-se necessidade de:</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spacing w:after="40" w:line="276" w:lineRule="auto"/>
              <w:ind w:left="360" w:firstLine="0"/>
              <w:rPr/>
            </w:pPr>
            <w:r w:rsidDel="00000000" w:rsidR="00000000" w:rsidRPr="00000000">
              <w:rPr>
                <w:rFonts w:ascii="Arial" w:cs="Arial" w:eastAsia="Arial" w:hAnsi="Arial"/>
                <w:sz w:val="20"/>
                <w:szCs w:val="20"/>
                <w:rtl w:val="0"/>
              </w:rPr>
              <w:t xml:space="preserve">• reforço do patrulhamento preventivo — com missões dirigidas por horário e local, priorizando os acessos à Central do Brasil (07h–09h e 17h–20h) e a Praça Floriano no período noturno;</w:t>
            </w:r>
            <w:r w:rsidDel="00000000" w:rsidR="00000000" w:rsidRPr="00000000">
              <w:rPr>
                <w:rtl w:val="0"/>
              </w:rPr>
            </w:r>
          </w:p>
          <w:p w:rsidR="00000000" w:rsidDel="00000000" w:rsidP="00000000" w:rsidRDefault="00000000" w:rsidRPr="00000000" w14:paraId="0000002B">
            <w:pPr>
              <w:spacing w:after="40" w:line="276" w:lineRule="auto"/>
              <w:ind w:left="360" w:firstLine="0"/>
              <w:rPr/>
            </w:pPr>
            <w:r w:rsidDel="00000000" w:rsidR="00000000" w:rsidRPr="00000000">
              <w:rPr>
                <w:rFonts w:ascii="Arial" w:cs="Arial" w:eastAsia="Arial" w:hAnsi="Arial"/>
                <w:sz w:val="20"/>
                <w:szCs w:val="20"/>
                <w:rtl w:val="0"/>
              </w:rPr>
              <w:t xml:space="preserve">• melhoria da iluminação pública — especialmente nos setores internos do Campo de Santana e no entorno da Praça Floriano;</w:t>
            </w:r>
            <w:r w:rsidDel="00000000" w:rsidR="00000000" w:rsidRPr="00000000">
              <w:rPr>
                <w:rtl w:val="0"/>
              </w:rPr>
            </w:r>
          </w:p>
          <w:p w:rsidR="00000000" w:rsidDel="00000000" w:rsidP="00000000" w:rsidRDefault="00000000" w:rsidRPr="00000000" w14:paraId="0000002C">
            <w:pPr>
              <w:spacing w:after="40" w:line="276" w:lineRule="auto"/>
              <w:ind w:left="360" w:firstLine="0"/>
              <w:rPr/>
            </w:pPr>
            <w:r w:rsidDel="00000000" w:rsidR="00000000" w:rsidRPr="00000000">
              <w:rPr>
                <w:rFonts w:ascii="Arial" w:cs="Arial" w:eastAsia="Arial" w:hAnsi="Arial"/>
                <w:sz w:val="20"/>
                <w:szCs w:val="20"/>
                <w:rtl w:val="0"/>
              </w:rPr>
              <w:t xml:space="preserve">• poda de vegetação — redução dos pontos de sombra no Campo de Santana que favorecem abordagens e permanência de PSR;</w:t>
            </w:r>
            <w:r w:rsidDel="00000000" w:rsidR="00000000" w:rsidRPr="00000000">
              <w:rPr>
                <w:rtl w:val="0"/>
              </w:rPr>
            </w:r>
          </w:p>
          <w:p w:rsidR="00000000" w:rsidDel="00000000" w:rsidP="00000000" w:rsidRDefault="00000000" w:rsidRPr="00000000" w14:paraId="0000002D">
            <w:pPr>
              <w:spacing w:after="40" w:line="276" w:lineRule="auto"/>
              <w:ind w:left="360" w:firstLine="0"/>
              <w:rPr/>
            </w:pPr>
            <w:r w:rsidDel="00000000" w:rsidR="00000000" w:rsidRPr="00000000">
              <w:rPr>
                <w:rFonts w:ascii="Arial" w:cs="Arial" w:eastAsia="Arial" w:hAnsi="Arial"/>
                <w:sz w:val="20"/>
                <w:szCs w:val="20"/>
                <w:rtl w:val="0"/>
              </w:rPr>
              <w:t xml:space="preserve">• fiscalização e ordenamento do comércio irregular — ações específicas no Camelódromo da Uruguaiana e nos acessos à Central do Brasil;</w:t>
            </w:r>
            <w:r w:rsidDel="00000000" w:rsidR="00000000" w:rsidRPr="00000000">
              <w:rPr>
                <w:rtl w:val="0"/>
              </w:rPr>
            </w:r>
          </w:p>
          <w:p w:rsidR="00000000" w:rsidDel="00000000" w:rsidP="00000000" w:rsidRDefault="00000000" w:rsidRPr="00000000" w14:paraId="0000002E">
            <w:pPr>
              <w:spacing w:after="40" w:line="276" w:lineRule="auto"/>
              <w:ind w:left="360" w:firstLine="0"/>
              <w:rPr/>
            </w:pPr>
            <w:r w:rsidDel="00000000" w:rsidR="00000000" w:rsidRPr="00000000">
              <w:rPr>
                <w:rFonts w:ascii="Arial" w:cs="Arial" w:eastAsia="Arial" w:hAnsi="Arial"/>
                <w:sz w:val="20"/>
                <w:szCs w:val="20"/>
                <w:rtl w:val="0"/>
              </w:rPr>
              <w:t xml:space="preserve">• ações integradas de ordenamento urbano — coordenação permanente entre Força Municipal, PMERJ, PCERJ e SEOP, com operações abrangendo o eixo completo do perímetro.</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Arial" w:cs="Arial" w:eastAsia="Arial" w:hAnsi="Arial"/>
                <w:sz w:val="20"/>
                <w:szCs w:val="20"/>
                <w:rtl w:val="0"/>
              </w:rPr>
              <w:t xml:space="preserve">Os delitos tendem a ocorrer principalmente nos horários de pico de transporte público (07h–09h e 17h–20h) na Central do Brasil e Av. Presidente Vargas, e no período noturno na Cinelândia, com agravamento nos fins de semana e períodos de grande aglomeração como o Carnaval.</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5"/>
      <w:gridCol w:w="2891"/>
      <w:gridCol w:w="2891"/>
      <w:tblGridChange w:id="0">
        <w:tblGrid>
          <w:gridCol w:w="3855"/>
          <w:gridCol w:w="2891"/>
          <w:gridCol w:w="289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a623" w:val="clear"/>
          <w:tcMar>
            <w:top w:w="40.0" w:type="dxa"/>
            <w:left w:w="100.0" w:type="dxa"/>
            <w:bottom w:w="4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b2a4a"/>
              <w:sz w:val="16"/>
              <w:szCs w:val="16"/>
              <w:rtl w:val="0"/>
            </w:rPr>
            <w:t xml:space="preserve">FORÇA MUNICIPAL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0000"/>
              <w:sz w:val="16"/>
              <w:szCs w:val="16"/>
              <w:rtl w:val="0"/>
            </w:rPr>
            <w:t xml:space="preserve">RESERVADO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5">
          <w:pPr>
            <w:jc w:val="right"/>
            <w:rPr/>
          </w:pPr>
          <w:r w:rsidDel="00000000" w:rsidR="00000000" w:rsidRPr="00000000">
            <w:rPr>
              <w:rFonts w:ascii="Arial" w:cs="Arial" w:eastAsia="Arial" w:hAnsi="Arial"/>
              <w:color w:val="1b2a4a"/>
              <w:sz w:val="16"/>
              <w:szCs w:val="16"/>
              <w:rtl w:val="0"/>
            </w:rPr>
            <w:t xml:space="preserve">Pág. </w:t>
          </w:r>
          <w:r w:rsidDel="00000000" w:rsidR="00000000" w:rsidRPr="00000000">
            <w:rPr>
              <w:rFonts w:ascii="Arial" w:cs="Arial" w:eastAsia="Arial" w:hAnsi="Arial"/>
              <w:color w:val="1b2a4a"/>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BlppVSXKIfva9ZZawxXHNmalg==">CgMxLjA4AHIhMVVqMnFnUC03bm01N3p3UVBhV1VGeDlYdnl1LXRYVkph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