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RetinaCheck Prototype</w:t>
      </w:r>
    </w:p>
    <w:p>
      <w:pPr>
        <w:spacing w:after="200"/>
      </w:pPr>
      <w:r>
        <w:rPr>
          <w:rFonts w:ascii="Aptos" w:hAnsi="Aptos"/>
          <w:color w:val="000000"/>
          <w:sz w:val="24"/>
        </w:rPr>
        <w:t>How the hybrid model, webpage and Grad-CAM work together</w:t>
      </w:r>
    </w:p>
    <w:p>
      <w:pPr>
        <w:spacing w:after="160"/>
      </w:pPr>
      <w:r>
        <w:rPr>
          <w:color w:val="000000"/>
        </w:rPr>
        <w:t>RetinaCheck is a local research prototype for exploring the thesis workflow. A user uploads a retinal fundus image, the saved InceptionV3–ResNet50 model predicts one of five severity grades, and Grad-CAM produces a visual overlay of regions that influenced the model score.</w:t>
      </w:r>
    </w:p>
    <w:p>
      <w:pPr>
        <w:pStyle w:val="Heading1"/>
        <w:keepNext/>
      </w:pPr>
      <w:r>
        <w:rPr>
          <w:color w:val="000000"/>
        </w:rPr>
        <w:t>Purpose and current status</w:t>
      </w:r>
    </w:p>
    <w:p>
      <w:r>
        <w:rPr>
          <w:color w:val="000000"/>
        </w:rPr>
        <w:t>The browser page is connected to the trained hybrid model saved from Kaggle. It performs inference only; it does not train or update the model. The prediction and heatmap are generated on the same computer by a local Python server.</w:t>
      </w:r>
    </w:p>
    <w:p>
      <w:pPr>
        <w:pStyle w:val="Heading2"/>
        <w:keepNext/>
        <w:spacing w:before="140" w:after="60"/>
      </w:pPr>
      <w:r>
        <w:rPr>
          <w:rFonts w:ascii="Arial" w:hAnsi="Arial"/>
          <w:color w:val="000000"/>
          <w:sz w:val="30"/>
        </w:rPr>
        <w:t>What the model is and what each part does</w:t>
      </w:r>
    </w:p>
    <w:p>
      <w:pPr>
        <w:spacing w:after="40" w:line="240" w:lineRule="auto"/>
      </w:pPr>
      <w:r>
        <w:rPr>
          <w:b/>
          <w:color w:val="000000"/>
        </w:rPr>
        <w:t xml:space="preserve">Hybrid model: </w:t>
      </w:r>
      <w:r>
        <w:rPr>
          <w:color w:val="000000"/>
        </w:rPr>
        <w:t>A convolutional neural network (CNN) with two image-analysis branches. It combines the visual features learned by both branches before predicting a grade.</w:t>
      </w:r>
    </w:p>
    <w:p>
      <w:pPr>
        <w:spacing w:after="40" w:line="240" w:lineRule="auto"/>
      </w:pPr>
      <w:r>
        <w:rPr>
          <w:b/>
          <w:color w:val="000000"/>
        </w:rPr>
        <w:t xml:space="preserve">InceptionV3: </w:t>
      </w:r>
      <w:r>
        <w:rPr>
          <w:color w:val="000000"/>
        </w:rPr>
        <w:t>Looks for image patterns at different scales, from small details to broader structures.</w:t>
      </w:r>
    </w:p>
    <w:p>
      <w:pPr>
        <w:spacing w:after="40" w:line="240" w:lineRule="auto"/>
      </w:pPr>
      <w:r>
        <w:rPr>
          <w:b/>
          <w:color w:val="000000"/>
        </w:rPr>
        <w:t xml:space="preserve">ResNet50: </w:t>
      </w:r>
      <w:r>
        <w:rPr>
          <w:color w:val="000000"/>
        </w:rPr>
        <w:t>Uses shortcut connections between layers to help a deep network learn useful image patterns.</w:t>
      </w:r>
    </w:p>
    <w:p>
      <w:pPr>
        <w:spacing w:after="40" w:line="240" w:lineRule="auto"/>
      </w:pPr>
      <w:r>
        <w:rPr>
          <w:b/>
          <w:color w:val="000000"/>
        </w:rPr>
        <w:t xml:space="preserve">Feature fusion and SE: </w:t>
      </w:r>
      <w:r>
        <w:rPr>
          <w:color w:val="000000"/>
        </w:rPr>
        <w:t>Feature fusion joins information from both branches. The squeeze-and-excitation (SE) block learns which combined features should receive more emphasis.</w:t>
      </w:r>
    </w:p>
    <w:p>
      <w:pPr>
        <w:spacing w:after="40" w:line="240" w:lineRule="auto"/>
      </w:pPr>
      <w:r>
        <w:rPr>
          <w:b/>
          <w:color w:val="000000"/>
        </w:rPr>
        <w:t xml:space="preserve">Classifier and Grad-CAM: </w:t>
      </w:r>
      <w:r>
        <w:rPr>
          <w:color w:val="000000"/>
        </w:rPr>
        <w:t>The classifier scores the five grades: No DR, Mild, Moderate, Severe and Proliferative DR. Grad-CAM is applied afterward to visualize regions that influenced a score; it does not prove a lesion is present.</w:t>
      </w:r>
    </w:p>
    <w:p>
      <w:pPr>
        <w:pStyle w:val="Heading1"/>
        <w:keepNext/>
      </w:pPr>
      <w:r>
        <w:rPr>
          <w:color w:val="000000"/>
        </w:rPr>
        <w:t>Languages and tools</w:t>
      </w:r>
    </w:p>
    <w:p>
      <w:pPr>
        <w:pStyle w:val="ListBullet"/>
        <w:spacing w:after="40"/>
        <w:ind w:left="317" w:hanging="202"/>
      </w:pPr>
      <w:r>
        <w:rPr>
          <w:rFonts w:ascii="Aptos" w:hAnsi="Aptos"/>
          <w:b/>
          <w:color w:val="000000"/>
          <w:sz w:val="19"/>
        </w:rPr>
        <w:t xml:space="preserve">HTML: </w:t>
      </w:r>
      <w:r>
        <w:rPr>
          <w:rFonts w:ascii="Aptos" w:hAnsi="Aptos"/>
          <w:color w:val="000000"/>
          <w:sz w:val="19"/>
        </w:rPr>
        <w:t>Provides the webpage structure, upload control and result areas.</w:t>
      </w:r>
    </w:p>
    <w:p>
      <w:pPr>
        <w:pStyle w:val="ListBullet"/>
        <w:spacing w:after="40"/>
        <w:ind w:left="317" w:hanging="202"/>
      </w:pPr>
      <w:r>
        <w:rPr>
          <w:rFonts w:ascii="Aptos" w:hAnsi="Aptos"/>
          <w:b/>
          <w:color w:val="000000"/>
          <w:sz w:val="19"/>
        </w:rPr>
        <w:t xml:space="preserve">CSS: </w:t>
      </w:r>
      <w:r>
        <w:rPr>
          <w:rFonts w:ascii="Aptos" w:hAnsi="Aptos"/>
          <w:color w:val="000000"/>
          <w:sz w:val="19"/>
        </w:rPr>
        <w:t>Styles the page layout, colors, cards, buttons and responsive view.</w:t>
      </w:r>
    </w:p>
    <w:p>
      <w:pPr>
        <w:pStyle w:val="ListBullet"/>
        <w:spacing w:after="40"/>
        <w:ind w:left="317" w:hanging="202"/>
      </w:pPr>
      <w:r>
        <w:rPr>
          <w:rFonts w:ascii="Aptos" w:hAnsi="Aptos"/>
          <w:b/>
          <w:color w:val="000000"/>
          <w:sz w:val="19"/>
        </w:rPr>
        <w:t xml:space="preserve">JavaScript: </w:t>
      </w:r>
      <w:r>
        <w:rPr>
          <w:rFonts w:ascii="Aptos" w:hAnsi="Aptos"/>
          <w:color w:val="000000"/>
          <w:sz w:val="19"/>
        </w:rPr>
        <w:t>Previews the selected image, sends it to the server and displays the returned result.</w:t>
      </w:r>
    </w:p>
    <w:p>
      <w:pPr>
        <w:pStyle w:val="ListBullet"/>
        <w:spacing w:after="40"/>
        <w:ind w:left="317" w:hanging="202"/>
      </w:pPr>
      <w:r>
        <w:rPr>
          <w:rFonts w:ascii="Aptos" w:hAnsi="Aptos"/>
          <w:b/>
          <w:color w:val="000000"/>
          <w:sz w:val="19"/>
        </w:rPr>
        <w:t xml:space="preserve">Python and Flask: </w:t>
      </w:r>
      <w:r>
        <w:rPr>
          <w:rFonts w:ascii="Aptos" w:hAnsi="Aptos"/>
          <w:color w:val="000000"/>
          <w:sz w:val="19"/>
        </w:rPr>
        <w:t>Runs a local web server and exposes the image-analysis endpoint.</w:t>
      </w:r>
    </w:p>
    <w:p>
      <w:pPr>
        <w:pStyle w:val="ListBullet"/>
        <w:spacing w:after="40"/>
        <w:ind w:left="317" w:hanging="202"/>
      </w:pPr>
      <w:r>
        <w:rPr>
          <w:rFonts w:ascii="Aptos" w:hAnsi="Aptos"/>
          <w:b/>
          <w:color w:val="000000"/>
          <w:sz w:val="19"/>
        </w:rPr>
        <w:t xml:space="preserve">TensorFlow and Keras: </w:t>
      </w:r>
      <w:r>
        <w:rPr>
          <w:rFonts w:ascii="Aptos" w:hAnsi="Aptos"/>
          <w:color w:val="000000"/>
          <w:sz w:val="19"/>
        </w:rPr>
        <w:t>Loads the saved .keras model and performs prediction and Grad-CAM calculations.</w:t>
      </w:r>
    </w:p>
    <w:p>
      <w:pPr>
        <w:pStyle w:val="ListBullet"/>
        <w:spacing w:after="40"/>
        <w:ind w:left="317" w:hanging="202"/>
      </w:pPr>
      <w:r>
        <w:rPr>
          <w:rFonts w:ascii="Aptos" w:hAnsi="Aptos"/>
          <w:b/>
          <w:color w:val="000000"/>
          <w:sz w:val="19"/>
        </w:rPr>
        <w:t xml:space="preserve">OpenCV: </w:t>
      </w:r>
      <w:r>
        <w:rPr>
          <w:rFonts w:ascii="Aptos" w:hAnsi="Aptos"/>
          <w:color w:val="000000"/>
          <w:sz w:val="19"/>
        </w:rPr>
        <w:t>Reads and prepares fundus images using the preprocessing steps from the Kaggle notebook.</w:t>
      </w:r>
    </w:p>
    <w:p>
      <w:pPr>
        <w:pStyle w:val="Heading1"/>
        <w:keepNext/>
      </w:pPr>
      <w:r>
        <w:rPr>
          <w:color w:val="000000"/>
        </w:rPr>
        <w:t>What happens during image analysis</w:t>
      </w:r>
    </w:p>
    <w:p>
      <w:pPr>
        <w:pStyle w:val="ListNumber"/>
        <w:spacing w:after="60"/>
        <w:ind w:left="317" w:hanging="202"/>
      </w:pPr>
      <w:r>
        <w:rPr>
          <w:color w:val="000000"/>
        </w:rPr>
        <w:t>The user selects a JPG or PNG fundus image in the webpage.</w:t>
      </w:r>
    </w:p>
    <w:p>
      <w:pPr>
        <w:pStyle w:val="ListNumber"/>
        <w:spacing w:after="60"/>
        <w:ind w:left="317" w:hanging="202"/>
      </w:pPr>
      <w:r>
        <w:rPr>
          <w:color w:val="000000"/>
        </w:rPr>
        <w:t>JavaScript sends the image to the local Python server through the /api/analyze endpoint.</w:t>
      </w:r>
    </w:p>
    <w:p>
      <w:pPr>
        <w:pStyle w:val="ListNumber"/>
        <w:spacing w:after="60"/>
        <w:ind w:left="317" w:hanging="202"/>
      </w:pPr>
      <w:r>
        <w:rPr>
          <w:color w:val="000000"/>
        </w:rPr>
        <w:t>OpenCV applies the notebook preprocessing: field-of-view crop, square padding, resize to 299 × 299, illumination correction, CLAHE contrast enhancement and circular masking.</w:t>
      </w:r>
    </w:p>
    <w:p>
      <w:pPr>
        <w:pStyle w:val="ListNumber"/>
        <w:spacing w:after="60"/>
        <w:ind w:left="317" w:hanging="202"/>
      </w:pPr>
      <w:r>
        <w:rPr>
          <w:color w:val="000000"/>
        </w:rPr>
        <w:t>The hybrid model returns probabilities for No DR, Mild, Moderate, Severe and Proliferative DR.</w:t>
      </w:r>
    </w:p>
    <w:p>
      <w:pPr>
        <w:pStyle w:val="ListNumber"/>
        <w:spacing w:after="60"/>
        <w:ind w:left="317" w:hanging="202"/>
      </w:pPr>
      <w:r>
        <w:rPr>
          <w:color w:val="000000"/>
        </w:rPr>
        <w:t>Grad-CAM is calculated for the final convolutional feature maps in the InceptionV3 and ResNet50 branches. The two normalized maps are averaged and overlaid on the processed image.</w:t>
      </w:r>
    </w:p>
    <w:p>
      <w:pPr>
        <w:pStyle w:val="ListNumber"/>
        <w:spacing w:after="60"/>
        <w:ind w:left="317" w:hanging="202"/>
      </w:pPr>
      <w:r>
        <w:rPr>
          <w:color w:val="000000"/>
        </w:rPr>
        <w:t>The server returns the predicted grade, its model score and the Grad-CAM overlay; JavaScript displays them on the page.</w:t>
      </w:r>
    </w:p>
    <w:p>
      <w:r>
        <w:br w:type="page"/>
      </w:r>
    </w:p>
    <w:p>
      <w:pPr>
        <w:pStyle w:val="Heading1"/>
        <w:keepNext/>
      </w:pPr>
      <w:r>
        <w:rPr>
          <w:color w:val="000000"/>
        </w:rPr>
        <w:t>How to interpret the result</w:t>
      </w:r>
    </w:p>
    <w:p>
      <w:r>
        <w:rPr>
          <w:color w:val="000000"/>
        </w:rPr>
        <w:t>The grade is the class with the highest model probability. The displayed percentage is the model’s output score for that class; it is not a measure of clinical certainty. The Grad-CAM overlay shows image regions that contributed to the score. It is a post-hoc explanation, not a lesion detector, and it does not confirm that a lesion is present.</w:t>
      </w:r>
    </w:p>
    <w:p>
      <w:pPr>
        <w:pStyle w:val="Heading1"/>
        <w:keepNext/>
      </w:pPr>
      <w:r>
        <w:rPr>
          <w:color w:val="000000"/>
        </w:rPr>
        <w:t>Using the prototype</w:t>
      </w:r>
    </w:p>
    <w:p>
      <w:pPr>
        <w:pStyle w:val="ListBullet"/>
        <w:spacing w:after="40"/>
        <w:ind w:left="317" w:hanging="202"/>
      </w:pPr>
      <w:r>
        <w:rPr>
          <w:color w:val="000000"/>
        </w:rPr>
        <w:t>Double-click start-retinacheck.bat to start the local server and open the prototype in a browser.</w:t>
      </w:r>
    </w:p>
    <w:p>
      <w:pPr>
        <w:pStyle w:val="ListBullet"/>
        <w:spacing w:after="40"/>
        <w:ind w:left="317" w:hanging="202"/>
      </w:pPr>
      <w:r>
        <w:rPr>
          <w:color w:val="000000"/>
        </w:rPr>
        <w:t>Choose a real retinal fundus image and click Analyze with model.</w:t>
      </w:r>
    </w:p>
    <w:p>
      <w:pPr>
        <w:pStyle w:val="ListBullet"/>
        <w:spacing w:after="40"/>
        <w:ind w:left="317" w:hanging="202"/>
      </w:pPr>
      <w:r>
        <w:rPr>
          <w:color w:val="000000"/>
        </w:rPr>
        <w:t>Keep the server window or process running while using the page. If the prototype is stopped, run the start file again.</w:t>
      </w:r>
    </w:p>
    <w:p>
      <w:pPr>
        <w:pStyle w:val="ListBullet"/>
        <w:spacing w:after="40"/>
        <w:ind w:left="317" w:hanging="202"/>
      </w:pPr>
      <w:r>
        <w:rPr>
          <w:color w:val="000000"/>
        </w:rPr>
        <w:t>The six synthetic sample images are preview-only. They are not analyzed by the model and should not be presented as real clinical examples.</w:t>
      </w:r>
    </w:p>
    <w:p>
      <w:r>
        <w:rPr>
          <w:color w:val="000000"/>
        </w:rPr>
        <w:t>The local prototype files are retinacheck-prototype.html (webpage), retinacheck_server.py (Python server), requirements-model.txt (package list), start-retinacheck.bat (launcher) and Hybrid_InceptionV3_ResNet50_SE_best.keras (trained hybrid model).</w:t>
      </w:r>
    </w:p>
    <w:p>
      <w:pPr>
        <w:pStyle w:val="Heading1"/>
        <w:keepNext/>
      </w:pPr>
      <w:r>
        <w:rPr>
          <w:color w:val="000000"/>
        </w:rPr>
        <w:t>Limitations</w:t>
      </w:r>
    </w:p>
    <w:p>
      <w:pPr>
        <w:pStyle w:val="ListBullet"/>
        <w:spacing w:after="40"/>
        <w:ind w:left="317" w:hanging="202"/>
      </w:pPr>
      <w:r>
        <w:rPr>
          <w:color w:val="000000"/>
        </w:rPr>
        <w:t>This is an academic prototype, not a medical device or diagnostic service.</w:t>
      </w:r>
    </w:p>
    <w:p>
      <w:pPr>
        <w:pStyle w:val="ListBullet"/>
        <w:spacing w:after="40"/>
        <w:ind w:left="317" w:hanging="202"/>
      </w:pPr>
      <w:r>
        <w:rPr>
          <w:color w:val="000000"/>
        </w:rPr>
        <w:t>Grad-CAM highlights influential image regions but does not prove that those regions contain a disease lesion.</w:t>
      </w:r>
    </w:p>
    <w:p>
      <w:pPr>
        <w:pStyle w:val="ListBullet"/>
        <w:spacing w:after="40"/>
        <w:ind w:left="317" w:hanging="202"/>
      </w:pPr>
      <w:r>
        <w:rPr>
          <w:color w:val="000000"/>
        </w:rPr>
        <w:t>Predictions can be affected by image quality, camera differences and differences between the training data and the uploaded image.</w:t>
      </w:r>
    </w:p>
    <w:p>
      <w:pPr>
        <w:pStyle w:val="ListBullet"/>
        <w:spacing w:after="40"/>
        <w:ind w:left="317" w:hanging="202"/>
      </w:pPr>
      <w:r>
        <w:rPr>
          <w:color w:val="000000"/>
        </w:rPr>
        <w:t>A qualified eye-care professional must assess images and make clinical decisions. The prototype has not been clinically validated for patient care.</w:t>
      </w:r>
    </w:p>
    <w:p>
      <w:pPr>
        <w:pStyle w:val="Heading1"/>
        <w:keepNext/>
      </w:pPr>
      <w:r>
        <w:rPr>
          <w:color w:val="000000"/>
        </w:rPr>
        <w:t>Short explanation for a thesis presentation</w:t>
      </w:r>
    </w:p>
    <w:p>
      <w:pPr>
        <w:spacing w:before="60" w:after="80"/>
        <w:ind w:left="259" w:right="259"/>
      </w:pPr>
      <w:r>
        <w:rPr>
          <w:i/>
          <w:color w:val="000000"/>
        </w:rPr>
        <w:t>“We developed a browser-based prototype using HTML, CSS and JavaScript, connected to a Python Flask server. The server applies the same image preparation used in our Kaggle notebook, runs the trained InceptionV3–ResNet50 hybrid model, and returns a five-grade prediction with a Grad-CAM overlay generated from both model branches. The prototype demonstrates model inference and explanation; it is not intended to replace professional diagnosis.”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684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inacheck-workflow-user-cr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8441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6384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8696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8696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72B3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RetinaCheck Prototype Overview</dc:title>
  <dc:subject>Languages, architecture, workflow and limitations of the diabetic retinopathy prototype</dc:subject>
  <dc:creator>RetinaCheck Thesis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