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RetinaCheck Prototype</w:t>
      </w:r>
    </w:p>
    <w:p>
      <w:pPr>
        <w:spacing w:after="200"/>
      </w:pPr>
      <w:r>
        <w:rPr>
          <w:rFonts w:ascii="Aptos" w:hAnsi="Aptos"/>
          <w:color w:val="000000"/>
          <w:sz w:val="24"/>
        </w:rPr>
        <w:t>How the InceptionV3 baseline, hybrid model, webpage and Grad-CAM work together</w:t>
      </w:r>
    </w:p>
    <w:p>
      <w:pPr>
        <w:spacing w:after="160"/>
      </w:pPr>
      <w:r>
        <w:rPr>
          <w:color w:val="000000"/>
        </w:rPr>
        <w:t>RetinaCheck is a local research prototype for exploring the thesis workflow. A user uploads a retinal fundus image, and the webpage runs both the InceptionV3 baseline and the InceptionV3–ResNet50 hybrid model on that same image. It displays each model’s predicted severity grade and class scores side by side; a Grad-CAM overlay is generated for the hybrid model.</w:t>
      </w:r>
    </w:p>
    <w:p>
      <w:pPr>
        <w:pStyle w:val="Heading1"/>
        <w:keepNext/>
      </w:pPr>
      <w:r>
        <w:rPr>
          <w:color w:val="000000"/>
        </w:rPr>
        <w:t>Purpose and current status</w:t>
      </w:r>
    </w:p>
    <w:p>
      <w:r>
        <w:rPr>
          <w:color w:val="000000"/>
        </w:rPr>
        <w:t>The browser page loads two trained models saved from Kaggle: an InceptionV3 baseline and the InceptionV3–ResNet50 + SE hybrid. It performs inference only; it does not train or update either model. Both predictions and the hybrid heatmap are generated on the same computer by a local Python server.</w:t>
      </w:r>
    </w:p>
    <w:p>
      <w:pPr>
        <w:pStyle w:val="Heading2"/>
        <w:keepNext/>
        <w:spacing w:before="140" w:after="60"/>
      </w:pPr>
      <w:r>
        <w:rPr>
          <w:rFonts w:ascii="Arial" w:hAnsi="Arial"/>
          <w:color w:val="000000"/>
          <w:sz w:val="30"/>
        </w:rPr>
        <w:t>What the models are and what each part does</w:t>
      </w:r>
    </w:p>
    <w:p>
      <w:pPr>
        <w:spacing w:after="40" w:line="240" w:lineRule="auto"/>
      </w:pPr>
      <w:r>
        <w:rPr>
          <w:b/>
          <w:color w:val="000000"/>
        </w:rPr>
        <w:t>InceptionV3 baseline: A single-branch convolutional neural network (CNN) used as the comparison model. It provides a reference prediction for the same uploaded image.</w:t>
      </w:r>
      <w:r>
        <w:rPr>
          <w:color w:val="000000"/>
        </w:rPr>
      </w:r>
    </w:p>
    <w:p>
      <w:pPr>
        <w:spacing w:after="40" w:line="240" w:lineRule="auto"/>
      </w:pPr>
      <w:r>
        <w:rPr>
          <w:b/>
          <w:color w:val="000000"/>
        </w:rPr>
        <w:t>InceptionV3 branch: In the hybrid, this branch looks for image patterns at different scales, from small details to broader structures.</w:t>
      </w:r>
      <w:r>
        <w:rPr>
          <w:color w:val="000000"/>
        </w:rPr>
      </w:r>
    </w:p>
    <w:p>
      <w:pPr>
        <w:spacing w:after="40" w:line="240" w:lineRule="auto"/>
      </w:pPr>
      <w:r>
        <w:rPr>
          <w:b/>
          <w:color w:val="000000"/>
        </w:rPr>
        <w:t>ResNet50 branch: Uses shortcut connections between layers to help a deep network learn useful image patterns.</w:t>
      </w:r>
      <w:r>
        <w:rPr>
          <w:color w:val="000000"/>
        </w:rPr>
      </w:r>
    </w:p>
    <w:p>
      <w:pPr>
        <w:spacing w:after="40" w:line="240" w:lineRule="auto"/>
      </w:pPr>
      <w:r>
        <w:rPr>
          <w:b/>
          <w:color w:val="000000"/>
        </w:rPr>
        <w:t>Feature fusion and SE: The hybrid joins information from the InceptionV3 and ResNet50 branches. The squeeze-and-excitation (SE) block learns which combined features should receive more emphasis.</w:t>
      </w:r>
      <w:r>
        <w:rPr>
          <w:color w:val="000000"/>
        </w:rPr>
      </w:r>
    </w:p>
    <w:p>
      <w:pPr>
        <w:spacing w:after="40" w:line="240" w:lineRule="auto"/>
      </w:pPr>
      <w:r>
        <w:rPr>
          <w:b/>
          <w:color w:val="000000"/>
        </w:rPr>
        <w:t>Classifiers and Grad-CAM: Each model scores five grades: No DR, Mild, Moderate, Severe and Proliferative DR. Grad-CAM is applied to the hybrid after prediction to visualize influential image regions; it does not prove a lesion is present.</w:t>
      </w:r>
      <w:r>
        <w:rPr>
          <w:color w:val="000000"/>
        </w:rPr>
      </w:r>
    </w:p>
    <w:p>
      <w:pPr>
        <w:pStyle w:val="Heading1"/>
        <w:keepNext/>
      </w:pPr>
      <w:r>
        <w:rPr>
          <w:color w:val="000000"/>
        </w:rPr>
        <w:t>Languages and tools</w:t>
      </w:r>
    </w:p>
    <w:p>
      <w:pPr>
        <w:pStyle w:val="ListBullet"/>
        <w:spacing w:after="40"/>
        <w:ind w:left="317" w:hanging="202"/>
      </w:pPr>
      <w:r>
        <w:rPr>
          <w:rFonts w:ascii="Aptos" w:hAnsi="Aptos"/>
          <w:b/>
          <w:color w:val="000000"/>
          <w:sz w:val="19"/>
        </w:rPr>
        <w:t xml:space="preserve">HTML: </w:t>
      </w:r>
      <w:r>
        <w:rPr>
          <w:rFonts w:ascii="Aptos" w:hAnsi="Aptos"/>
          <w:color w:val="000000"/>
          <w:sz w:val="19"/>
        </w:rPr>
        <w:t>Provides the webpage structure, upload control and result areas.</w:t>
      </w:r>
    </w:p>
    <w:p>
      <w:pPr>
        <w:pStyle w:val="ListBullet"/>
        <w:spacing w:after="40"/>
        <w:ind w:left="317" w:hanging="202"/>
      </w:pPr>
      <w:r>
        <w:rPr>
          <w:rFonts w:ascii="Aptos" w:hAnsi="Aptos"/>
          <w:b/>
          <w:color w:val="000000"/>
          <w:sz w:val="19"/>
        </w:rPr>
        <w:t xml:space="preserve">CSS: </w:t>
      </w:r>
      <w:r>
        <w:rPr>
          <w:rFonts w:ascii="Aptos" w:hAnsi="Aptos"/>
          <w:color w:val="000000"/>
          <w:sz w:val="19"/>
        </w:rPr>
        <w:t>Styles the page layout, colors, cards, buttons and responsive view.</w:t>
      </w:r>
    </w:p>
    <w:p>
      <w:pPr>
        <w:pStyle w:val="ListBullet"/>
        <w:spacing w:after="40"/>
        <w:ind w:left="317" w:hanging="202"/>
      </w:pPr>
      <w:r>
        <w:rPr>
          <w:rFonts w:ascii="Aptos" w:hAnsi="Aptos"/>
          <w:b/>
          <w:color w:val="000000"/>
          <w:sz w:val="19"/>
        </w:rPr>
        <w:t xml:space="preserve">JavaScript: </w:t>
      </w:r>
      <w:r>
        <w:rPr>
          <w:rFonts w:ascii="Aptos" w:hAnsi="Aptos"/>
          <w:color w:val="000000"/>
          <w:sz w:val="19"/>
        </w:rPr>
        <w:t>Previews the selected image, sends it to the server and displays the returned result.</w:t>
      </w:r>
    </w:p>
    <w:p>
      <w:pPr>
        <w:pStyle w:val="ListBullet"/>
        <w:spacing w:after="40"/>
        <w:ind w:left="317" w:hanging="202"/>
      </w:pPr>
      <w:r>
        <w:rPr>
          <w:rFonts w:ascii="Aptos" w:hAnsi="Aptos"/>
          <w:b/>
          <w:color w:val="000000"/>
          <w:sz w:val="19"/>
        </w:rPr>
        <w:t xml:space="preserve">Python and Flask: </w:t>
      </w:r>
      <w:r>
        <w:rPr>
          <w:rFonts w:ascii="Aptos" w:hAnsi="Aptos"/>
          <w:color w:val="000000"/>
          <w:sz w:val="19"/>
        </w:rPr>
        <w:t>Runs a local web server and exposes the image-analysis endpoint.</w:t>
      </w:r>
    </w:p>
    <w:p>
      <w:pPr>
        <w:pStyle w:val="ListBullet"/>
        <w:spacing w:after="40"/>
        <w:ind w:left="317" w:hanging="202"/>
      </w:pPr>
      <w:r>
        <w:rPr>
          <w:rFonts w:ascii="Aptos" w:hAnsi="Aptos"/>
          <w:b/>
          <w:color w:val="000000"/>
          <w:sz w:val="19"/>
        </w:rPr>
        <w:t xml:space="preserve">TensorFlow and Keras: </w:t>
      </w:r>
      <w:r>
        <w:rPr>
          <w:rFonts w:ascii="Aptos" w:hAnsi="Aptos"/>
          <w:color w:val="000000"/>
          <w:sz w:val="19"/>
        </w:rPr>
        <w:t>Loads the saved .keras model and performs prediction and Grad-CAM calculations.</w:t>
      </w:r>
    </w:p>
    <w:p>
      <w:pPr>
        <w:pStyle w:val="ListBullet"/>
        <w:spacing w:after="40"/>
        <w:ind w:left="317" w:hanging="202"/>
      </w:pPr>
      <w:r>
        <w:rPr>
          <w:rFonts w:ascii="Aptos" w:hAnsi="Aptos"/>
          <w:b/>
          <w:color w:val="000000"/>
          <w:sz w:val="19"/>
        </w:rPr>
        <w:t xml:space="preserve">OpenCV: </w:t>
      </w:r>
      <w:r>
        <w:rPr>
          <w:rFonts w:ascii="Aptos" w:hAnsi="Aptos"/>
          <w:color w:val="000000"/>
          <w:sz w:val="19"/>
        </w:rPr>
        <w:t>Reads and prepares fundus images using the preprocessing steps from the Kaggle notebook.</w:t>
      </w:r>
    </w:p>
    <w:p>
      <w:pPr>
        <w:pStyle w:val="Heading1"/>
        <w:keepNext/>
      </w:pPr>
      <w:r>
        <w:rPr>
          <w:color w:val="000000"/>
        </w:rPr>
        <w:t>What happens during image analysis</w:t>
      </w:r>
    </w:p>
    <w:p>
      <w:pPr>
        <w:pStyle w:val="ListNumber"/>
        <w:spacing w:after="60"/>
        <w:ind w:left="317" w:hanging="202"/>
      </w:pPr>
      <w:r>
        <w:rPr>
          <w:color w:val="000000"/>
        </w:rPr>
        <w:t>The user selects a JPG or PNG fundus image in the webpage.</w:t>
      </w:r>
    </w:p>
    <w:p>
      <w:pPr>
        <w:pStyle w:val="ListNumber"/>
        <w:spacing w:after="60"/>
        <w:ind w:left="317" w:hanging="202"/>
      </w:pPr>
      <w:r>
        <w:rPr>
          <w:color w:val="000000"/>
        </w:rPr>
        <w:t>JavaScript sends the image to the local Python server through the /api/analyze endpoint.</w:t>
      </w:r>
    </w:p>
    <w:p>
      <w:pPr>
        <w:pStyle w:val="ListNumber"/>
        <w:spacing w:after="60"/>
        <w:ind w:left="317" w:hanging="202"/>
      </w:pPr>
      <w:r>
        <w:rPr>
          <w:color w:val="000000"/>
        </w:rPr>
        <w:t>OpenCV applies the notebook preprocessing: field-of-view crop, square padding, resize to 299 × 299, illumination correction, CLAHE contrast enhancement and circular masking.</w:t>
      </w:r>
    </w:p>
    <w:p>
      <w:pPr>
        <w:pStyle w:val="ListNumber"/>
        <w:spacing w:after="60"/>
        <w:ind w:left="317" w:hanging="202"/>
      </w:pPr>
      <w:r>
        <w:rPr>
          <w:color w:val="000000"/>
        </w:rPr>
        <w:t>Both trained models return probabilities for No DR, Mild, Moderate, Severe and Proliferative DR. The webpage displays each model’s top grade, score and five-class distribution for direct comparison.</w:t>
      </w:r>
    </w:p>
    <w:p>
      <w:pPr>
        <w:pStyle w:val="ListNumber"/>
        <w:spacing w:after="60"/>
        <w:ind w:left="317" w:hanging="202"/>
      </w:pPr>
      <w:r>
        <w:rPr>
          <w:color w:val="000000"/>
        </w:rPr>
        <w:t>For the hybrid only, Grad-CAM uses the final convolutional feature maps in the InceptionV3 and ResNet50 branches. The two normalized maps are averaged and overlaid on the processed image.</w:t>
      </w:r>
    </w:p>
    <w:p>
      <w:pPr>
        <w:pStyle w:val="ListNumber"/>
        <w:spacing w:after="60"/>
        <w:ind w:left="317" w:hanging="202"/>
      </w:pPr>
      <w:r>
        <w:rPr>
          <w:color w:val="000000"/>
        </w:rPr>
        <w:t>The server returns both model results and the hybrid Grad-CAM overlay; JavaScript displays the side-by-side comparison on the page.</w:t>
      </w:r>
    </w:p>
    <w:p>
      <w:r>
        <w:br w:type="page"/>
      </w:r>
    </w:p>
    <w:p>
      <w:pPr>
        <w:pStyle w:val="Heading1"/>
        <w:keepNext/>
      </w:pPr>
      <w:r>
        <w:rPr>
          <w:color w:val="000000"/>
        </w:rPr>
        <w:t>How to interpret the result</w:t>
      </w:r>
    </w:p>
    <w:p>
      <w:r>
        <w:rPr>
          <w:color w:val="000000"/>
        </w:rPr>
        <w:t>Each model’s predicted grade is the class with its highest probability. The displayed percentage is that model’s output score for the class; it is not a measure of clinical certainty. Comparing the two model outputs shows where their predictions agree or differ. The hybrid Grad-CAM overlay shows image regions that contributed to the hybrid score. It is a post-hoc explanation, not a lesion detector, and does not confirm that a lesion is present.</w:t>
      </w:r>
    </w:p>
    <w:p>
      <w:pPr>
        <w:pStyle w:val="Heading1"/>
        <w:keepNext/>
      </w:pPr>
      <w:r>
        <w:rPr>
          <w:color w:val="000000"/>
        </w:rPr>
        <w:t>Using the prototype</w:t>
      </w:r>
    </w:p>
    <w:p>
      <w:pPr>
        <w:pStyle w:val="ListBullet"/>
        <w:spacing w:after="40"/>
        <w:ind w:left="317" w:hanging="202"/>
      </w:pPr>
      <w:r>
        <w:rPr>
          <w:color w:val="000000"/>
        </w:rPr>
        <w:t>Double-click start-retinacheck.bat to start the local server and open the prototype in a browser.</w:t>
      </w:r>
    </w:p>
    <w:p>
      <w:pPr>
        <w:pStyle w:val="ListBullet"/>
        <w:spacing w:after="40"/>
        <w:ind w:left="317" w:hanging="202"/>
      </w:pPr>
      <w:r>
        <w:rPr>
          <w:color w:val="000000"/>
        </w:rPr>
        <w:t>Choose a real retinal fundus image and click Compare models. The prototype automatically classifies it with both trained models; the user does not select the result class.</w:t>
      </w:r>
    </w:p>
    <w:p>
      <w:pPr>
        <w:pStyle w:val="ListBullet"/>
        <w:spacing w:after="40"/>
        <w:ind w:left="317" w:hanging="202"/>
      </w:pPr>
      <w:r>
        <w:rPr>
          <w:color w:val="000000"/>
        </w:rPr>
        <w:t>Keep the server window or process running while using the page. If the prototype is stopped, run the start file again.</w:t>
      </w:r>
    </w:p>
    <w:p>
      <w:pPr>
        <w:pStyle w:val="ListBullet"/>
        <w:spacing w:after="40"/>
        <w:ind w:left="317" w:hanging="202"/>
      </w:pPr>
      <w:r>
        <w:rPr>
          <w:color w:val="000000"/>
        </w:rPr>
        <w:t>The six synthetic sample images are preview-only. They are not analyzed by either model and should not be presented as real clinical examples.</w:t>
      </w:r>
    </w:p>
    <w:p>
      <w:r>
        <w:rPr>
          <w:color w:val="000000"/>
        </w:rPr>
        <w:t>The local prototype files are retinacheck-prototype.html (webpage), retinacheck_server.py (Python server), requirements-model.txt (package list), start-retinacheck.bat (launcher), Hybrid_InceptionV3_ResNet50_SE_best.keras (trained hybrid model) and InceptionV3_baseline_best.keras (trained baseline model). Keep both model files beside retinacheck_server.py.</w:t>
      </w:r>
    </w:p>
    <w:p>
      <w:pPr>
        <w:pStyle w:val="Heading1"/>
      </w:pPr>
      <w:r>
        <w:rPr>
          <w:color w:val="000000"/>
        </w:rPr>
        <w:t>Testing with correctly predicted grade examples</w:t>
      </w:r>
    </w:p>
    <w:p>
      <w:pPr/>
      <w:r>
        <w:rPr>
          <w:color w:val="000000"/>
        </w:rPr>
        <w:t>The Kaggle notebook can save original validation images when the hybrid model’s prediction matches the recorded label. The Moderate example is generated separately; an additional cell creates examples for No DR, Mild, Severe and Proliferative DR.</w:t>
      </w:r>
    </w:p>
    <w:p>
      <w:pPr/>
      <w:r>
        <w:rPr>
          <w:color w:val="000000"/>
        </w:rPr>
        <w:t>The four additional files are no-dr-correctly-predicted.png, mild-dr-correctly-predicted.png, severe-dr-correctly-predicted.png and proliferative-dr-correctly-predicted.png. They are saved in /kaggle/working/outputs at 3216 × 2136 pixels. The notebook output reports each image’s true label, hybrid prediction and score.</w:t>
      </w:r>
    </w:p>
    <w:p>
      <w:pPr/>
      <w:r>
        <w:rPr>
          <w:color w:val="000000"/>
        </w:rPr>
        <w:t>In Kaggle’s Output panel, open the outputs folder and download the image files you want to demonstrate. In the local prototype, select a downloaded image with Choose an image and click Compare models to see the baseline and hybrid results side by side.</w:t>
      </w:r>
    </w:p>
    <w:p>
      <w:pPr/>
      <w:r>
        <w:rPr>
          <w:color w:val="000000"/>
        </w:rPr>
        <w:t>The examples are APTOS validation images and are not included in the public repository. Access and use them according to the Kaggle competition rules. They were selected because the hybrid prediction matched the validation label; the baseline may predict a different grade. Model scores are outputs, not clinical certainty, and another saved model version may produce different results.</w:t>
      </w:r>
    </w:p>
    <w:p>
      <w:pPr>
        <w:pStyle w:val="Heading1"/>
        <w:keepNext/>
      </w:pPr>
      <w:r>
        <w:rPr>
          <w:color w:val="000000"/>
        </w:rPr>
        <w:t>Limitations</w:t>
      </w:r>
    </w:p>
    <w:p>
      <w:pPr>
        <w:pStyle w:val="ListBullet"/>
        <w:spacing w:after="40"/>
        <w:ind w:left="317" w:hanging="202"/>
      </w:pPr>
      <w:r>
        <w:rPr>
          <w:color w:val="000000"/>
        </w:rPr>
        <w:t>This is an academic prototype, not a medical device or diagnostic service.</w:t>
      </w:r>
    </w:p>
    <w:p>
      <w:pPr>
        <w:pStyle w:val="ListBullet"/>
        <w:spacing w:after="40"/>
        <w:ind w:left="317" w:hanging="202"/>
      </w:pPr>
      <w:r>
        <w:rPr>
          <w:color w:val="000000"/>
        </w:rPr>
        <w:t>Grad-CAM highlights influential image regions but does not prove that those regions contain a disease lesion.</w:t>
      </w:r>
    </w:p>
    <w:p>
      <w:pPr>
        <w:pStyle w:val="ListBullet"/>
        <w:spacing w:after="40"/>
        <w:ind w:left="317" w:hanging="202"/>
      </w:pPr>
      <w:r>
        <w:rPr>
          <w:color w:val="000000"/>
        </w:rPr>
        <w:t>Predictions can be affected by image quality, camera differences and differences between the training data and the uploaded image.</w:t>
      </w:r>
    </w:p>
    <w:p>
      <w:pPr>
        <w:pStyle w:val="ListBullet"/>
        <w:spacing w:after="40"/>
        <w:ind w:left="317" w:hanging="202"/>
      </w:pPr>
      <w:r>
        <w:rPr>
          <w:color w:val="000000"/>
        </w:rPr>
        <w:t>A qualified eye-care professional must assess images and make clinical decisions. The prototype has not been clinically validated for patient care.</w:t>
      </w:r>
    </w:p>
    <w:p>
      <w:pPr>
        <w:pStyle w:val="Heading1"/>
        <w:keepNext/>
      </w:pPr>
      <w:r>
        <w:rPr>
          <w:color w:val="000000"/>
        </w:rPr>
        <w:t>Short explanation for a thesis presentation</w:t>
      </w:r>
    </w:p>
    <w:p>
      <w:pPr>
        <w:spacing w:before="60" w:after="80"/>
        <w:ind w:left="259" w:right="259"/>
      </w:pPr>
      <w:r>
        <w:rPr>
          <w:i/>
          <w:color w:val="000000"/>
        </w:rPr>
        <w:t>“We developed a browser-based prototype using HTML, CSS and JavaScript, connected to a Python Flask server. The server applies the same image preparation used in our Kaggle notebook, runs both the InceptionV3 baseline and the InceptionV3–ResNet50 + SE hybrid on an uploaded image, and displays their five-grade predictions for direct comparison. A Grad-CAM overlay from both branches of the hybrid model helps visualize image regions that influenced its score. The prototype demonstrates model inference and explanation; it is not intended to replace professional diagnosis.”</w:t>
      </w:r>
    </w:p>
    <w:p>
      <w:pPr>
        <w:spacing w:before="120"/>
        <w:jc w:val="center"/>
      </w:pPr>
      <w:r>
        <w:drawing>
          <wp:inline xmlns:a="http://schemas.openxmlformats.org/drawingml/2006/main" xmlns:pic="http://schemas.openxmlformats.org/drawingml/2006/picture">
            <wp:extent cx="5897880" cy="982980"/>
            <wp:docPr id="1" name="Picture 1"/>
            <wp:cNvGraphicFramePr>
              <a:graphicFrameLocks noChangeAspect="1"/>
            </wp:cNvGraphicFramePr>
            <a:graphic>
              <a:graphicData uri="http://schemas.openxmlformats.org/drawingml/2006/picture">
                <pic:pic>
                  <pic:nvPicPr>
                    <pic:cNvPr id="0" name="retinacheck-workflow-user-crop.png"/>
                    <pic:cNvPicPr/>
                  </pic:nvPicPr>
                  <pic:blipFill>
                    <a:blip r:embed="rId11"/>
                    <a:stretch>
                      <a:fillRect/>
                    </a:stretch>
                  </pic:blipFill>
                  <pic:spPr>
                    <a:xfrm>
                      <a:off x="0" y="0"/>
                      <a:ext cx="5897880" cy="982980"/>
                    </a:xfrm>
                    <a:prstGeom prst="rect"/>
                  </pic:spPr>
                </pic:pic>
              </a:graphicData>
            </a:graphic>
          </wp:inline>
        </w:drawing>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8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8696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869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172B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RetinaCheck Prototype Overview</dc:title>
  <dc:subject>Languages, architecture, workflow and limitations of the diabetic retinopathy prototype</dc:subject>
  <dc:creator>RetinaCheck Thesis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