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SEC EDGAR API Integration — Architecture &amp; Proof of Concept</w:t>
      </w:r>
    </w:p>
    <w:p>
      <w:pPr>
        <w:pStyle w:val="MdParagraph"/>
      </w:pPr>
      <w:r>
        <w:rPr>
          <w:rStyle w:val="MdStrong"/>
          <w:b/>
          <w:bCs/>
        </w:rPr>
        <w:t xml:space="preserve">Author:</w:t>
      </w:r>
      <w:r>
        <w:t xml:space="preserve"> IPO Radar AI Engineering</w:t>
      </w:r>
      <w:r>
        <w:rPr>
          <w:rStyle w:val="MdBr"/>
        </w:rPr>
        <w:br/>
        <w:t xml:space="preserve"/>
      </w:r>
      <w:r>
        <w:rPr>
          <w:rStyle w:val="MdStrong"/>
          <w:b/>
          <w:bCs/>
        </w:rPr>
        <w:t xml:space="preserve">Date:</w:t>
      </w:r>
      <w:r>
        <w:t xml:space="preserve"> April 6,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Executive Summary</w:t>
      </w:r>
    </w:p>
    <w:p>
      <w:pPr>
        <w:pStyle w:val="MdParagraph"/>
      </w:pPr>
      <w:r>
        <w:t xml:space="preserve">This document demonstrates a working integration with the SEC's EDGAR API system that pulls </w:t>
      </w:r>
      <w:r>
        <w:rPr>
          <w:rStyle w:val="MdStrong"/>
          <w:b/>
          <w:bCs/>
        </w:rPr>
        <w:t xml:space="preserve">verified, real-time financial data</w:t>
      </w:r>
      <w:r>
        <w:t xml:space="preserve"> directly from regulatory filings. The integration was tested against three real companies — Klarna (recent IPO), Reddit (2024 IPO), and Apple (established company) — and successfully retrieved revenue, net income, total assets, EPS, shares outstanding, and filing history for all three.</w:t>
      </w:r>
    </w:p>
    <w:p>
      <w:pPr>
        <w:pStyle w:val="MdSpace"/>
        <w:spacing w:before="0" w:after="60"/>
      </w:pPr>
    </w:p>
    <w:p>
      <w:pPr>
        <w:pStyle w:val="MdParagraph"/>
      </w:pPr>
      <w:r>
        <w:t xml:space="preserve">The architecture replaces the mockup data layer in our initiation report pipeline with a </w:t>
      </w:r>
      <w:r>
        <w:rPr>
          <w:rStyle w:val="MdStrong"/>
          <w:b/>
          <w:bCs/>
        </w:rPr>
        <w:t xml:space="preserve">verified data pipeline</w:t>
      </w:r>
      <w:r>
        <w:t xml:space="preserve"> where every financial figure traces back to an SEC filing accession number.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Data Sources</w:t>
      </w:r>
    </w:p>
    <w:p>
      <w:pPr>
        <w:pStyle w:val="MdParagraph"/>
      </w:pPr>
      <w:r>
        <w:t xml:space="preserve">The SEC provides four free, public API endpoints on </w:t>
      </w:r>
      <w:r>
        <w:rPr>
          <w:rStyle w:val="MdCode"/>
          <w:u w:val="single"/>
        </w:rPr>
        <w:t xml:space="preserve">data.sec.gov</w:t>
      </w:r>
      <w:r>
        <w:t xml:space="preserve"> that require no authentication and no API keys. The data is updated in real time as filings are disseminated.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URL Pattern</w:t>
            </w:r>
          </w:p>
        </w:tc>
        <w:tc>
          <w:tcPr>
            <w:tcMar>
              <w:top w:type="dxa" w:w="100"/>
              <w:left w:type="dxa" w:w="120"/>
              <w:bottom w:type="dxa" w:w="100"/>
              <w:right w:type="dxa" w:w="120"/>
            </w:tcMar>
            <w:vAlign w:val="center"/>
          </w:tcPr>
          <w:p>
            <w:pPr>
              <w:pStyle w:val="MdTableHeader"/>
            </w:pPr>
            <w:r>
              <w:t xml:space="preserve">What It Returns</w:t>
            </w:r>
          </w:p>
        </w:tc>
        <w:tc>
          <w:tcPr>
            <w:tcBorders>
              <w:right w:val="none"/>
            </w:tcBorders>
            <w:tcMar>
              <w:top w:type="dxa" w:w="100"/>
              <w:left w:type="dxa" w:w="120"/>
              <w:bottom w:type="dxa" w:w="100"/>
              <w:right w:type="dxa" w:w="120"/>
            </w:tcMar>
            <w:vAlign w:val="center"/>
          </w:tcPr>
          <w:p>
            <w:pPr>
              <w:pStyle w:val="MdTableHeader"/>
            </w:pPr>
            <w:r>
              <w:t xml:space="preserve">Use Case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Submissions</w:t>
            </w:r>
          </w:p>
        </w:tc>
        <w:tc>
          <w:tcPr>
            <w:tcMar>
              <w:top w:type="dxa" w:w="80"/>
              <w:left w:type="dxa" w:w="120"/>
              <w:bottom w:type="dxa" w:w="80"/>
              <w:right w:type="dxa" w:w="120"/>
            </w:tcMar>
            <w:vAlign w:val="center"/>
          </w:tcPr>
          <w:p>
            <w:pPr>
              <w:pStyle w:val="MdTableCell"/>
            </w:pPr>
            <w:r>
              <w:rPr>
                <w:rStyle w:val="MdCode"/>
                <w:u w:val="single"/>
              </w:rPr>
              <w:t xml:space="preserve">data.sec.gov/submissions/CIK{cik}.json</w:t>
            </w:r>
          </w:p>
        </w:tc>
        <w:tc>
          <w:tcPr>
            <w:tcMar>
              <w:top w:type="dxa" w:w="80"/>
              <w:left w:type="dxa" w:w="120"/>
              <w:bottom w:type="dxa" w:w="80"/>
              <w:right w:type="dxa" w:w="120"/>
            </w:tcMar>
            <w:vAlign w:val="center"/>
          </w:tcPr>
          <w:p>
            <w:pPr>
              <w:pStyle w:val="MdTableCell"/>
            </w:pPr>
            <w:r>
              <w:t xml:space="preserve">Company metadata, filing history (1000+ filings)</w:t>
            </w:r>
          </w:p>
        </w:tc>
        <w:tc>
          <w:tcPr>
            <w:tcBorders>
              <w:right w:val="none"/>
            </w:tcBorders>
            <w:tcMar>
              <w:top w:type="dxa" w:w="80"/>
              <w:left w:type="dxa" w:w="120"/>
              <w:bottom w:type="dxa" w:w="80"/>
              <w:right w:type="dxa" w:w="120"/>
            </w:tcMar>
            <w:vAlign w:val="center"/>
          </w:tcPr>
          <w:p>
            <w:pPr>
              <w:pStyle w:val="MdTableCell"/>
            </w:pPr>
            <w:r>
              <w:t xml:space="preserve">Company profile, IPO filing dates, form types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Company Facts</w:t>
            </w:r>
          </w:p>
        </w:tc>
        <w:tc>
          <w:tcPr>
            <w:tcMar>
              <w:top w:type="dxa" w:w="80"/>
              <w:left w:type="dxa" w:w="120"/>
              <w:bottom w:type="dxa" w:w="80"/>
              <w:right w:type="dxa" w:w="120"/>
            </w:tcMar>
            <w:vAlign w:val="center"/>
          </w:tcPr>
          <w:p>
            <w:pPr>
              <w:pStyle w:val="MdTableCell"/>
            </w:pPr>
            <w:r>
              <w:rPr>
                <w:rStyle w:val="MdCode"/>
                <w:u w:val="single"/>
              </w:rPr>
              <w:t xml:space="preserve">data.sec.gov/api/xbrl/companyfacts/CIK{cik}.json</w:t>
            </w:r>
          </w:p>
        </w:tc>
        <w:tc>
          <w:tcPr>
            <w:tcMar>
              <w:top w:type="dxa" w:w="80"/>
              <w:left w:type="dxa" w:w="120"/>
              <w:bottom w:type="dxa" w:w="80"/>
              <w:right w:type="dxa" w:w="120"/>
            </w:tcMar>
            <w:vAlign w:val="center"/>
          </w:tcPr>
          <w:p>
            <w:pPr>
              <w:pStyle w:val="MdTableCell"/>
            </w:pPr>
            <w:r>
              <w:t xml:space="preserve">Every XBRL financial concept ever reported</w:t>
            </w:r>
          </w:p>
        </w:tc>
        <w:tc>
          <w:tcPr>
            <w:tcBorders>
              <w:right w:val="none"/>
            </w:tcBorders>
            <w:tcMar>
              <w:top w:type="dxa" w:w="80"/>
              <w:left w:type="dxa" w:w="120"/>
              <w:bottom w:type="dxa" w:w="80"/>
              <w:right w:type="dxa" w:w="120"/>
            </w:tcMar>
            <w:vAlign w:val="center"/>
          </w:tcPr>
          <w:p>
            <w:pPr>
              <w:pStyle w:val="MdTableCell"/>
            </w:pPr>
            <w:r>
              <w:t xml:space="preserve">Revenue, net income, assets, liabilities, EPS — all historical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Company Concept</w:t>
            </w:r>
          </w:p>
        </w:tc>
        <w:tc>
          <w:tcPr>
            <w:tcMar>
              <w:top w:type="dxa" w:w="80"/>
              <w:left w:type="dxa" w:w="120"/>
              <w:bottom w:type="dxa" w:w="80"/>
              <w:right w:type="dxa" w:w="120"/>
            </w:tcMar>
            <w:vAlign w:val="center"/>
          </w:tcPr>
          <w:p>
            <w:pPr>
              <w:pStyle w:val="MdTableCell"/>
            </w:pPr>
            <w:r>
              <w:rPr>
                <w:rStyle w:val="MdCode"/>
                <w:u w:val="single"/>
              </w:rPr>
              <w:t xml:space="preserve">data.sec.gov/api/xbrl/companyconcept/CIK{cik}/{taxonomy}/{concept}.json</w:t>
            </w:r>
          </w:p>
        </w:tc>
        <w:tc>
          <w:tcPr>
            <w:tcMar>
              <w:top w:type="dxa" w:w="80"/>
              <w:left w:type="dxa" w:w="120"/>
              <w:bottom w:type="dxa" w:w="80"/>
              <w:right w:type="dxa" w:w="120"/>
            </w:tcMar>
            <w:vAlign w:val="center"/>
          </w:tcPr>
          <w:p>
            <w:pPr>
              <w:pStyle w:val="MdTableCell"/>
            </w:pPr>
            <w:r>
              <w:t xml:space="preserve">Single financial metric across all filings</w:t>
            </w:r>
          </w:p>
        </w:tc>
        <w:tc>
          <w:tcPr>
            <w:tcBorders>
              <w:right w:val="none"/>
            </w:tcBorders>
            <w:tcMar>
              <w:top w:type="dxa" w:w="80"/>
              <w:left w:type="dxa" w:w="120"/>
              <w:bottom w:type="dxa" w:w="80"/>
              <w:right w:type="dxa" w:w="120"/>
            </w:tcMar>
            <w:vAlign w:val="center"/>
          </w:tcPr>
          <w:p>
            <w:pPr>
              <w:pStyle w:val="MdTableCell"/>
            </w:pPr>
            <w:r>
              <w:t xml:space="preserve">Targeted queries for specific line items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Frames</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data.sec.gov/api/xbrl/frames/{taxonomy}/{concept}/{unit}/CY{year}Q{quarter}I.json</w:t>
            </w:r>
          </w:p>
        </w:tc>
        <w:tc>
          <w:tcPr>
            <w:tcBorders>
              <w:bottom w:val="single" w:color="E1E4E8" w:sz="4"/>
            </w:tcBorders>
            <w:tcMar>
              <w:top w:type="dxa" w:w="80"/>
              <w:left w:type="dxa" w:w="120"/>
              <w:bottom w:type="dxa" w:w="80"/>
              <w:right w:type="dxa" w:w="120"/>
            </w:tcMar>
            <w:vAlign w:val="center"/>
          </w:tcPr>
          <w:p>
            <w:pPr>
              <w:pStyle w:val="MdTableCell"/>
            </w:pPr>
            <w:r>
              <w:t xml:space="preserve">One data point per company for a given period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Peer comparisons across the entire market</w:t>
            </w:r>
          </w:p>
        </w:tc>
      </w:tr>
    </w:tbl>
    <w:p>
      <w:pPr>
        <w:pStyle w:val="MdParagraph"/>
      </w:pPr>
      <w:r>
        <w:t xml:space="preserve">The EDGAR Full-Text Search system at </w:t>
      </w:r>
      <w:r>
        <w:rPr>
          <w:rStyle w:val="MdCode"/>
          <w:u w:val="single"/>
        </w:rPr>
        <w:t xml:space="preserve">efts.sec.gov</w:t>
      </w:r>
      <w:r>
        <w:t xml:space="preserve"> provides keyword search across all filings since 2001, which we use to discover new S-1 and F-1 filings as they appear.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Proof of Concept Results</w:t>
      </w:r>
    </w:p>
    <w:p>
      <w:pPr>
        <w:pStyle w:val="Heading3"/>
        <w:pStyle w:val="MdHeading3"/>
      </w:pPr>
      <w:r>
        <w:t xml:space="preserve">3.1 Klarna Group plc (KLAR)</w:t>
      </w:r>
    </w:p>
    <w:p>
      <w:pPr>
        <w:pStyle w:val="MdParagraph"/>
      </w:pPr>
      <w:r>
        <w:t xml:space="preserve">Klarna filed its F-1 on March 14, 2025, followed by four amendments. The EDGAR API returned the complete filing timeline and three years of audited financial data.</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FY2023</w:t>
            </w:r>
          </w:p>
        </w:tc>
        <w:tc>
          <w:tcPr>
            <w:tcMar>
              <w:top w:type="dxa" w:w="100"/>
              <w:left w:type="dxa" w:w="120"/>
              <w:bottom w:type="dxa" w:w="100"/>
              <w:right w:type="dxa" w:w="120"/>
            </w:tcMar>
            <w:vAlign w:val="center"/>
          </w:tcPr>
          <w:p>
            <w:pPr>
              <w:pStyle w:val="MdTableHeader"/>
            </w:pPr>
            <w:r>
              <w:t xml:space="preserve">FY2024</w:t>
            </w:r>
          </w:p>
        </w:tc>
        <w:tc>
          <w:tcPr>
            <w:tcMar>
              <w:top w:type="dxa" w:w="100"/>
              <w:left w:type="dxa" w:w="120"/>
              <w:bottom w:type="dxa" w:w="100"/>
              <w:right w:type="dxa" w:w="120"/>
            </w:tcMar>
            <w:vAlign w:val="center"/>
          </w:tcPr>
          <w:p>
            <w:pPr>
              <w:pStyle w:val="MdTableHeader"/>
            </w:pPr>
            <w:r>
              <w:t xml:space="preserve">FY2025</w:t>
            </w:r>
          </w:p>
        </w:tc>
        <w:tc>
          <w:tcPr>
            <w:tcBorders>
              <w:right w:val="none"/>
            </w:tcBorders>
            <w:tcMar>
              <w:top w:type="dxa" w:w="100"/>
              <w:left w:type="dxa" w:w="120"/>
              <w:bottom w:type="dxa" w:w="100"/>
              <w:right w:type="dxa" w:w="120"/>
            </w:tcMar>
            <w:vAlign w:val="center"/>
          </w:tcPr>
          <w:p>
            <w:pPr>
              <w:pStyle w:val="MdTableHeader"/>
            </w:pPr>
            <w:r>
              <w:t xml:space="preserve">Source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Revenue</w:t>
            </w:r>
          </w:p>
        </w:tc>
        <w:tc>
          <w:tcPr>
            <w:tcMar>
              <w:top w:type="dxa" w:w="80"/>
              <w:left w:type="dxa" w:w="120"/>
              <w:bottom w:type="dxa" w:w="80"/>
              <w:right w:type="dxa" w:w="120"/>
            </w:tcMar>
            <w:vAlign w:val="center"/>
          </w:tcPr>
          <w:p>
            <w:pPr>
              <w:pStyle w:val="MdTableCell"/>
            </w:pPr>
            <w:r>
              <w:t xml:space="preserve">$2,276,000,000</w:t>
            </w:r>
          </w:p>
        </w:tc>
        <w:tc>
          <w:tcPr>
            <w:tcMar>
              <w:top w:type="dxa" w:w="80"/>
              <w:left w:type="dxa" w:w="120"/>
              <w:bottom w:type="dxa" w:w="80"/>
              <w:right w:type="dxa" w:w="120"/>
            </w:tcMar>
            <w:vAlign w:val="center"/>
          </w:tcPr>
          <w:p>
            <w:pPr>
              <w:pStyle w:val="MdTableCell"/>
            </w:pPr>
            <w:r>
              <w:t xml:space="preserve">$2,811,000,000</w:t>
            </w:r>
          </w:p>
        </w:tc>
        <w:tc>
          <w:tcPr>
            <w:tcMar>
              <w:top w:type="dxa" w:w="80"/>
              <w:left w:type="dxa" w:w="120"/>
              <w:bottom w:type="dxa" w:w="80"/>
              <w:right w:type="dxa" w:w="120"/>
            </w:tcMar>
            <w:vAlign w:val="center"/>
          </w:tcPr>
          <w:p>
            <w:pPr>
              <w:pStyle w:val="MdTableCell"/>
            </w:pPr>
            <w:r>
              <w:t xml:space="preserve">$3,509,000,000</w:t>
            </w:r>
          </w:p>
        </w:tc>
        <w:tc>
          <w:tcPr>
            <w:tcBorders>
              <w:right w:val="none"/>
            </w:tcBorders>
            <w:tcMar>
              <w:top w:type="dxa" w:w="80"/>
              <w:left w:type="dxa" w:w="120"/>
              <w:bottom w:type="dxa" w:w="80"/>
              <w:right w:type="dxa" w:w="120"/>
            </w:tcMar>
            <w:vAlign w:val="center"/>
          </w:tcPr>
          <w:p>
            <w:pPr>
              <w:pStyle w:val="MdTableCell"/>
            </w:pPr>
            <w:r>
              <w:t xml:space="preserve">XBRL us-gaap:Revenues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Net Income</w:t>
            </w:r>
          </w:p>
        </w:tc>
        <w:tc>
          <w:tcPr>
            <w:tcMar>
              <w:top w:type="dxa" w:w="80"/>
              <w:left w:type="dxa" w:w="120"/>
              <w:bottom w:type="dxa" w:w="80"/>
              <w:right w:type="dxa" w:w="120"/>
            </w:tcMar>
            <w:vAlign w:val="center"/>
          </w:tcPr>
          <w:p>
            <w:pPr>
              <w:pStyle w:val="MdTableCell"/>
            </w:pPr>
            <w:r>
              <w:t xml:space="preserve">($244,000,000)</w:t>
            </w:r>
          </w:p>
        </w:tc>
        <w:tc>
          <w:tcPr>
            <w:tcMar>
              <w:top w:type="dxa" w:w="80"/>
              <w:left w:type="dxa" w:w="120"/>
              <w:bottom w:type="dxa" w:w="80"/>
              <w:right w:type="dxa" w:w="120"/>
            </w:tcMar>
            <w:vAlign w:val="center"/>
          </w:tcPr>
          <w:p>
            <w:pPr>
              <w:pStyle w:val="MdTableCell"/>
            </w:pPr>
            <w:r>
              <w:t xml:space="preserve">$21,000,000</w:t>
            </w:r>
          </w:p>
        </w:tc>
        <w:tc>
          <w:tcPr>
            <w:tcMar>
              <w:top w:type="dxa" w:w="80"/>
              <w:left w:type="dxa" w:w="120"/>
              <w:bottom w:type="dxa" w:w="80"/>
              <w:right w:type="dxa" w:w="120"/>
            </w:tcMar>
            <w:vAlign w:val="center"/>
          </w:tcPr>
          <w:p>
            <w:pPr>
              <w:pStyle w:val="MdTableCell"/>
            </w:pPr>
            <w:r>
              <w:t xml:space="preserve">($273,000,000)</w:t>
            </w:r>
          </w:p>
        </w:tc>
        <w:tc>
          <w:tcPr>
            <w:tcBorders>
              <w:right w:val="none"/>
            </w:tcBorders>
            <w:tcMar>
              <w:top w:type="dxa" w:w="80"/>
              <w:left w:type="dxa" w:w="120"/>
              <w:bottom w:type="dxa" w:w="80"/>
              <w:right w:type="dxa" w:w="120"/>
            </w:tcMar>
            <w:vAlign w:val="center"/>
          </w:tcPr>
          <w:p>
            <w:pPr>
              <w:pStyle w:val="MdTableCell"/>
            </w:pPr>
            <w:r>
              <w:t xml:space="preserve">XBRL us-gaap:NetIncomeLoss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Total Assets</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$13,804,000,000</w:t>
            </w:r>
          </w:p>
        </w:tc>
        <w:tc>
          <w:tcPr>
            <w:tcBorders>
              <w:bottom w:val="single" w:color="E1E4E8" w:sz="4"/>
            </w:tcBorders>
            <w:tcMar>
              <w:top w:type="dxa" w:w="80"/>
              <w:left w:type="dxa" w:w="120"/>
              <w:bottom w:type="dxa" w:w="80"/>
              <w:right w:type="dxa" w:w="120"/>
            </w:tcMar>
            <w:vAlign w:val="center"/>
          </w:tcPr>
          <w:p>
            <w:pPr>
              <w:pStyle w:val="MdTableCell"/>
            </w:pPr>
            <w:r>
              <w:t xml:space="preserve">$18,797,000,000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XBRL us-gaap:Assets</w:t>
            </w:r>
          </w:p>
        </w:tc>
      </w:tr>
    </w:tbl>
    <w:p>
      <w:pPr>
        <w:pStyle w:val="MdParagraph"/>
      </w:pPr>
      <w:r>
        <w:t xml:space="preserve">Every figure above is pulled directly from Klarna's SEC filings and can be traced to a specific accession number. The revenue figure of $2,811,000,000 for FY2024, for example, comes from the XBRL data tagged in Klarna's F-1 filing.</w:t>
      </w:r>
    </w:p>
    <w:p>
      <w:pPr>
        <w:pStyle w:val="MdSpace"/>
        <w:spacing w:before="0" w:after="60"/>
      </w:pPr>
    </w:p>
    <w:p>
      <w:pPr>
        <w:pStyle w:val="Heading3"/>
        <w:pStyle w:val="MdHeading3"/>
      </w:pPr>
      <w:r>
        <w:t xml:space="preserve">3.2 Reddit, Inc. (RDDT)</w:t>
      </w:r>
    </w:p>
    <w:p>
      <w:pPr>
        <w:pStyle w:val="MdParagraph"/>
      </w:pPr>
      <w:r>
        <w:t xml:space="preserve">Reddit's S-1 filing and subsequent 10-K reports provide a complete financial picture from pre-IPO through profitability.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FY2023</w:t>
            </w:r>
          </w:p>
        </w:tc>
        <w:tc>
          <w:tcPr>
            <w:tcMar>
              <w:top w:type="dxa" w:w="100"/>
              <w:left w:type="dxa" w:w="120"/>
              <w:bottom w:type="dxa" w:w="100"/>
              <w:right w:type="dxa" w:w="120"/>
            </w:tcMar>
            <w:vAlign w:val="center"/>
          </w:tcPr>
          <w:p>
            <w:pPr>
              <w:pStyle w:val="MdTableHeader"/>
            </w:pPr>
            <w:r>
              <w:t xml:space="preserve">FY2024</w:t>
            </w:r>
          </w:p>
        </w:tc>
        <w:tc>
          <w:tcPr>
            <w:tcMar>
              <w:top w:type="dxa" w:w="100"/>
              <w:left w:type="dxa" w:w="120"/>
              <w:bottom w:type="dxa" w:w="100"/>
              <w:right w:type="dxa" w:w="120"/>
            </w:tcMar>
            <w:vAlign w:val="center"/>
          </w:tcPr>
          <w:p>
            <w:pPr>
              <w:pStyle w:val="MdTableHeader"/>
            </w:pPr>
            <w:r>
              <w:t xml:space="preserve">FY2025</w:t>
            </w:r>
          </w:p>
        </w:tc>
        <w:tc>
          <w:tcPr>
            <w:tcBorders>
              <w:right w:val="none"/>
            </w:tcBorders>
            <w:tcMar>
              <w:top w:type="dxa" w:w="100"/>
              <w:left w:type="dxa" w:w="120"/>
              <w:bottom w:type="dxa" w:w="100"/>
              <w:right w:type="dxa" w:w="120"/>
            </w:tcMar>
            <w:vAlign w:val="center"/>
          </w:tcPr>
          <w:p>
            <w:pPr>
              <w:pStyle w:val="MdTableHeader"/>
            </w:pPr>
            <w:r>
              <w:t xml:space="preserve">Source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Revenue</w:t>
            </w:r>
          </w:p>
        </w:tc>
        <w:tc>
          <w:tcPr>
            <w:tcMar>
              <w:top w:type="dxa" w:w="80"/>
              <w:left w:type="dxa" w:w="120"/>
              <w:bottom w:type="dxa" w:w="80"/>
              <w:right w:type="dxa" w:w="120"/>
            </w:tcMar>
            <w:vAlign w:val="center"/>
          </w:tcPr>
          <w:p>
            <w:pPr>
              <w:pStyle w:val="MdTableCell"/>
            </w:pPr>
            <w:r>
              <w:t xml:space="preserve">$804,029,000</w:t>
            </w:r>
          </w:p>
        </w:tc>
        <w:tc>
          <w:tcPr>
            <w:tcMar>
              <w:top w:type="dxa" w:w="80"/>
              <w:left w:type="dxa" w:w="120"/>
              <w:bottom w:type="dxa" w:w="80"/>
              <w:right w:type="dxa" w:w="120"/>
            </w:tcMar>
            <w:vAlign w:val="center"/>
          </w:tcPr>
          <w:p>
            <w:pPr>
              <w:pStyle w:val="MdTableCell"/>
            </w:pPr>
            <w:r>
              <w:t xml:space="preserve">$1,300,205,000</w:t>
            </w:r>
          </w:p>
        </w:tc>
        <w:tc>
          <w:tcPr>
            <w:tcMar>
              <w:top w:type="dxa" w:w="80"/>
              <w:left w:type="dxa" w:w="120"/>
              <w:bottom w:type="dxa" w:w="80"/>
              <w:right w:type="dxa" w:w="120"/>
            </w:tcMar>
            <w:vAlign w:val="center"/>
          </w:tcPr>
          <w:p>
            <w:pPr>
              <w:pStyle w:val="MdTableCell"/>
            </w:pPr>
            <w:r>
              <w:t xml:space="preserve">$2,202,506,000</w:t>
            </w:r>
          </w:p>
        </w:tc>
        <w:tc>
          <w:tcPr>
            <w:tcBorders>
              <w:right w:val="none"/>
            </w:tcBorders>
            <w:tcMar>
              <w:top w:type="dxa" w:w="80"/>
              <w:left w:type="dxa" w:w="120"/>
              <w:bottom w:type="dxa" w:w="80"/>
              <w:right w:type="dxa" w:w="120"/>
            </w:tcMar>
            <w:vAlign w:val="center"/>
          </w:tcPr>
          <w:p>
            <w:pPr>
              <w:pStyle w:val="MdTableCell"/>
            </w:pPr>
            <w:r>
              <w:t xml:space="preserve">XBRL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Net Income</w:t>
            </w:r>
          </w:p>
        </w:tc>
        <w:tc>
          <w:tcPr>
            <w:tcBorders>
              <w:bottom w:val="single" w:color="E1E4E8" w:sz="4"/>
            </w:tcBorders>
            <w:tcMar>
              <w:top w:type="dxa" w:w="80"/>
              <w:left w:type="dxa" w:w="120"/>
              <w:bottom w:type="dxa" w:w="80"/>
              <w:right w:type="dxa" w:w="120"/>
            </w:tcMar>
            <w:vAlign w:val="center"/>
          </w:tcPr>
          <w:p>
            <w:pPr>
              <w:pStyle w:val="MdTableCell"/>
            </w:pPr>
            <w:r>
              <w:t xml:space="preserve">($90,824,000)</w:t>
            </w:r>
          </w:p>
        </w:tc>
        <w:tc>
          <w:tcPr>
            <w:tcBorders>
              <w:bottom w:val="single" w:color="E1E4E8" w:sz="4"/>
            </w:tcBorders>
            <w:tcMar>
              <w:top w:type="dxa" w:w="80"/>
              <w:left w:type="dxa" w:w="120"/>
              <w:bottom w:type="dxa" w:w="80"/>
              <w:right w:type="dxa" w:w="120"/>
            </w:tcMar>
            <w:vAlign w:val="center"/>
          </w:tcPr>
          <w:p>
            <w:pPr>
              <w:pStyle w:val="MdTableCell"/>
            </w:pPr>
            <w:r>
              <w:t xml:space="preserve">($484,276,000)</w:t>
            </w:r>
          </w:p>
        </w:tc>
        <w:tc>
          <w:tcPr>
            <w:tcBorders>
              <w:bottom w:val="single" w:color="E1E4E8" w:sz="4"/>
            </w:tcBorders>
            <w:tcMar>
              <w:top w:type="dxa" w:w="80"/>
              <w:left w:type="dxa" w:w="120"/>
              <w:bottom w:type="dxa" w:w="80"/>
              <w:right w:type="dxa" w:w="120"/>
            </w:tcMar>
            <w:vAlign w:val="center"/>
          </w:tcPr>
          <w:p>
            <w:pPr>
              <w:pStyle w:val="MdTableCell"/>
            </w:pPr>
            <w:r>
              <w:t xml:space="preserve">$529,721,000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XBRL</w:t>
            </w:r>
          </w:p>
        </w:tc>
      </w:tr>
    </w:tbl>
    <w:p>
      <w:pPr>
        <w:pStyle w:val="Heading3"/>
        <w:pStyle w:val="MdHeading3"/>
      </w:pPr>
      <w:r>
        <w:t xml:space="preserve">3.3 Apple Inc. (AAPL) — Full Historical Depth</w:t>
      </w:r>
    </w:p>
    <w:p>
      <w:pPr>
        <w:pStyle w:val="MdParagraph"/>
      </w:pPr>
      <w:r>
        <w:t xml:space="preserve">For established companies, the XBRL data goes back to the inception of XBRL reporting in 2009. Apple returned </w:t>
      </w:r>
      <w:r>
        <w:rPr>
          <w:rStyle w:val="MdStrong"/>
          <w:b/>
          <w:bCs/>
        </w:rPr>
        <w:t xml:space="preserve">117 annual data points</w:t>
      </w:r>
      <w:r>
        <w:t xml:space="preserve"> for revenue alone, demonstrating the depth of historical data available.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FY2023</w:t>
            </w:r>
          </w:p>
        </w:tc>
        <w:tc>
          <w:tcPr>
            <w:tcMar>
              <w:top w:type="dxa" w:w="100"/>
              <w:left w:type="dxa" w:w="120"/>
              <w:bottom w:type="dxa" w:w="100"/>
              <w:right w:type="dxa" w:w="120"/>
            </w:tcMar>
            <w:vAlign w:val="center"/>
          </w:tcPr>
          <w:p>
            <w:pPr>
              <w:pStyle w:val="MdTableHeader"/>
            </w:pPr>
            <w:r>
              <w:t xml:space="preserve">FY2024</w:t>
            </w:r>
          </w:p>
        </w:tc>
        <w:tc>
          <w:tcPr>
            <w:tcMar>
              <w:top w:type="dxa" w:w="100"/>
              <w:left w:type="dxa" w:w="120"/>
              <w:bottom w:type="dxa" w:w="100"/>
              <w:right w:type="dxa" w:w="120"/>
            </w:tcMar>
            <w:vAlign w:val="center"/>
          </w:tcPr>
          <w:p>
            <w:pPr>
              <w:pStyle w:val="MdTableHeader"/>
            </w:pPr>
            <w:r>
              <w:t xml:space="preserve">FY2025</w:t>
            </w:r>
          </w:p>
        </w:tc>
        <w:tc>
          <w:tcPr>
            <w:tcBorders>
              <w:right w:val="none"/>
            </w:tcBorders>
            <w:tcMar>
              <w:top w:type="dxa" w:w="100"/>
              <w:left w:type="dxa" w:w="120"/>
              <w:bottom w:type="dxa" w:w="100"/>
              <w:right w:type="dxa" w:w="120"/>
            </w:tcMar>
            <w:vAlign w:val="center"/>
          </w:tcPr>
          <w:p>
            <w:pPr>
              <w:pStyle w:val="MdTableHeader"/>
            </w:pPr>
            <w:r>
              <w:t xml:space="preserve">Data Points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Revenue</w:t>
            </w:r>
          </w:p>
        </w:tc>
        <w:tc>
          <w:tcPr>
            <w:tcMar>
              <w:top w:type="dxa" w:w="80"/>
              <w:left w:type="dxa" w:w="120"/>
              <w:bottom w:type="dxa" w:w="80"/>
              <w:right w:type="dxa" w:w="120"/>
            </w:tcMar>
            <w:vAlign w:val="center"/>
          </w:tcPr>
          <w:p>
            <w:pPr>
              <w:pStyle w:val="MdTableCell"/>
            </w:pPr>
            <w:r>
              <w:t xml:space="preserve">$383,285,000,000</w:t>
            </w:r>
          </w:p>
        </w:tc>
        <w:tc>
          <w:tcPr>
            <w:tcMar>
              <w:top w:type="dxa" w:w="80"/>
              <w:left w:type="dxa" w:w="120"/>
              <w:bottom w:type="dxa" w:w="80"/>
              <w:right w:type="dxa" w:w="120"/>
            </w:tcMar>
            <w:vAlign w:val="center"/>
          </w:tcPr>
          <w:p>
            <w:pPr>
              <w:pStyle w:val="MdTableCell"/>
            </w:pPr>
            <w:r>
              <w:t xml:space="preserve">$391,035,000,000</w:t>
            </w:r>
          </w:p>
        </w:tc>
        <w:tc>
          <w:tcPr>
            <w:tcMar>
              <w:top w:type="dxa" w:w="80"/>
              <w:left w:type="dxa" w:w="120"/>
              <w:bottom w:type="dxa" w:w="80"/>
              <w:right w:type="dxa" w:w="120"/>
            </w:tcMar>
            <w:vAlign w:val="center"/>
          </w:tcPr>
          <w:p>
            <w:pPr>
              <w:pStyle w:val="MdTableCell"/>
            </w:pPr>
            <w:r>
              <w:t xml:space="preserve">$416,161,000,000</w:t>
            </w:r>
          </w:p>
        </w:tc>
        <w:tc>
          <w:tcPr>
            <w:tcBorders>
              <w:right w:val="none"/>
            </w:tcBorders>
            <w:tcMar>
              <w:top w:type="dxa" w:w="80"/>
              <w:left w:type="dxa" w:w="120"/>
              <w:bottom w:type="dxa" w:w="80"/>
              <w:right w:type="dxa" w:w="120"/>
            </w:tcMar>
            <w:vAlign w:val="center"/>
          </w:tcPr>
          <w:p>
            <w:pPr>
              <w:pStyle w:val="MdTableCell"/>
            </w:pPr>
            <w:r>
              <w:t xml:space="preserve">117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Net Income</w:t>
            </w:r>
          </w:p>
        </w:tc>
        <w:tc>
          <w:tcPr>
            <w:tcMar>
              <w:top w:type="dxa" w:w="80"/>
              <w:left w:type="dxa" w:w="120"/>
              <w:bottom w:type="dxa" w:w="80"/>
              <w:right w:type="dxa" w:w="120"/>
            </w:tcMar>
            <w:vAlign w:val="center"/>
          </w:tcPr>
          <w:p>
            <w:pPr>
              <w:pStyle w:val="MdTableCell"/>
            </w:pPr>
            <w:r>
              <w:t xml:space="preserve">$96,995,000,000</w:t>
            </w:r>
          </w:p>
        </w:tc>
        <w:tc>
          <w:tcPr>
            <w:tcMar>
              <w:top w:type="dxa" w:w="80"/>
              <w:left w:type="dxa" w:w="120"/>
              <w:bottom w:type="dxa" w:w="80"/>
              <w:right w:type="dxa" w:w="120"/>
            </w:tcMar>
            <w:vAlign w:val="center"/>
          </w:tcPr>
          <w:p>
            <w:pPr>
              <w:pStyle w:val="MdTableCell"/>
            </w:pPr>
            <w:r>
              <w:t xml:space="preserve">$93,736,000,000</w:t>
            </w:r>
          </w:p>
        </w:tc>
        <w:tc>
          <w:tcPr>
            <w:tcMar>
              <w:top w:type="dxa" w:w="80"/>
              <w:left w:type="dxa" w:w="120"/>
              <w:bottom w:type="dxa" w:w="80"/>
              <w:right w:type="dxa" w:w="120"/>
            </w:tcMar>
            <w:vAlign w:val="center"/>
          </w:tcPr>
          <w:p>
            <w:pPr>
              <w:pStyle w:val="MdTableCell"/>
            </w:pPr>
            <w:r>
              <w:t xml:space="preserve">$112,010,000,000</w:t>
            </w:r>
          </w:p>
        </w:tc>
        <w:tc>
          <w:tcPr>
            <w:tcBorders>
              <w:right w:val="none"/>
            </w:tcBorders>
            <w:tcMar>
              <w:top w:type="dxa" w:w="80"/>
              <w:left w:type="dxa" w:w="120"/>
              <w:bottom w:type="dxa" w:w="80"/>
              <w:right w:type="dxa" w:w="120"/>
            </w:tcMar>
            <w:vAlign w:val="center"/>
          </w:tcPr>
          <w:p>
            <w:pPr>
              <w:pStyle w:val="MdTableCell"/>
            </w:pPr>
            <w:r>
              <w:t xml:space="preserve">117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EPS</w:t>
            </w:r>
          </w:p>
        </w:tc>
        <w:tc>
          <w:tcPr>
            <w:tcMar>
              <w:top w:type="dxa" w:w="80"/>
              <w:left w:type="dxa" w:w="120"/>
              <w:bottom w:type="dxa" w:w="80"/>
              <w:right w:type="dxa" w:w="120"/>
            </w:tcMar>
            <w:vAlign w:val="center"/>
          </w:tcPr>
          <w:p>
            <w:pPr>
              <w:pStyle w:val="MdTableCell"/>
            </w:pPr>
            <w:r>
              <w:t xml:space="preserve">$6.16</w:t>
            </w:r>
          </w:p>
        </w:tc>
        <w:tc>
          <w:tcPr>
            <w:tcMar>
              <w:top w:type="dxa" w:w="80"/>
              <w:left w:type="dxa" w:w="120"/>
              <w:bottom w:type="dxa" w:w="80"/>
              <w:right w:type="dxa" w:w="120"/>
            </w:tcMar>
            <w:vAlign w:val="center"/>
          </w:tcPr>
          <w:p>
            <w:pPr>
              <w:pStyle w:val="MdTableCell"/>
            </w:pPr>
            <w:r>
              <w:t xml:space="preserve">$6.11</w:t>
            </w:r>
          </w:p>
        </w:tc>
        <w:tc>
          <w:tcPr>
            <w:tcMar>
              <w:top w:type="dxa" w:w="80"/>
              <w:left w:type="dxa" w:w="120"/>
              <w:bottom w:type="dxa" w:w="80"/>
              <w:right w:type="dxa" w:w="120"/>
            </w:tcMar>
            <w:vAlign w:val="center"/>
          </w:tcPr>
          <w:p>
            <w:pPr>
              <w:pStyle w:val="MdTableCell"/>
            </w:pPr>
            <w:r>
              <w:t xml:space="preserve">$7.49</w:t>
            </w:r>
          </w:p>
        </w:tc>
        <w:tc>
          <w:tcPr>
            <w:tcBorders>
              <w:right w:val="none"/>
            </w:tcBorders>
            <w:tcMar>
              <w:top w:type="dxa" w:w="80"/>
              <w:left w:type="dxa" w:w="120"/>
              <w:bottom w:type="dxa" w:w="80"/>
              <w:right w:type="dxa" w:w="120"/>
            </w:tcMar>
            <w:vAlign w:val="center"/>
          </w:tcPr>
          <w:p>
            <w:pPr>
              <w:pStyle w:val="MdTableCell"/>
            </w:pPr>
            <w:r>
              <w:t xml:space="preserve">117</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Shares Outstanding</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15,116,786,000</w:t>
            </w:r>
          </w:p>
        </w:tc>
        <w:tc>
          <w:tcPr>
            <w:tcBorders>
              <w:bottom w:val="single" w:color="E1E4E8" w:sz="4"/>
            </w:tcBorders>
            <w:tcMar>
              <w:top w:type="dxa" w:w="80"/>
              <w:left w:type="dxa" w:w="120"/>
              <w:bottom w:type="dxa" w:w="80"/>
              <w:right w:type="dxa" w:w="120"/>
            </w:tcMar>
            <w:vAlign w:val="center"/>
          </w:tcPr>
          <w:p>
            <w:pPr>
              <w:pStyle w:val="MdTableCell"/>
            </w:pPr>
            <w:r>
              <w:t xml:space="preserve">14,773,260,000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34</w:t>
            </w:r>
          </w:p>
        </w:tc>
      </w:tr>
    </w:tbl>
    <w:p>
      <w:pPr>
        <w:pStyle w:val="Heading3"/>
        <w:pStyle w:val="MdHeading3"/>
      </w:pPr>
      <w:r>
        <w:t xml:space="preserve">3.4 IPO Filing Discovery</w:t>
      </w:r>
    </w:p>
    <w:p>
      <w:pPr>
        <w:pStyle w:val="MdParagraph"/>
      </w:pPr>
      <w:r>
        <w:t xml:space="preserve">The EDGAR Full-Text Search returned over </w:t>
      </w:r>
      <w:r>
        <w:rPr>
          <w:rStyle w:val="MdStrong"/>
          <w:b/>
          <w:bCs/>
        </w:rPr>
        <w:t xml:space="preserve">10,000 S-1 and F-1 filings</w:t>
      </w:r>
      <w:r>
        <w:t xml:space="preserve"> from 2025–2026, confirming that we can automatically discover new IPO filings as they are submitted to the SEC.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Production Architecture</w:t>
      </w:r>
    </w:p>
    <w:p>
      <w:pPr>
        <w:pStyle w:val="MdParagraph"/>
      </w:pPr>
      <w:r>
        <w:t xml:space="preserve">The production report generation pipeline works in three stages. The key principle is that </w:t>
      </w:r>
      <w:r>
        <w:rPr>
          <w:rStyle w:val="MdStrong"/>
          <w:b/>
          <w:bCs/>
        </w:rPr>
        <w:t xml:space="preserve">the LLM never invents financial data</w:t>
      </w:r>
      <w:r>
        <w:t xml:space="preserve"> — it receives verified data as structured input and generates narrative analysis around it.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REPORT GENERATION PIPELINE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STAGE 1: DATA COLLECTION (Verified Sources)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SEC EDGAR    │  │ Yahoo Finance│  │ Company IR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XBRL API     │  │ Data API     │  │ Website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Revenue    │  │ • Stock Price│  │ • Management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Net Income │  │ • Market Cap │  │ • Products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Assets     │  │ • Analyst    │  │ • Strategy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EPS        │  │   Consensus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Filings    │  │ • Peers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STAGE 2: STRUCTURED DATA PACKAGE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company: { name, cik, sic, tickers,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financials: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revenue: [{ period, value, source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netIncome: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totalAssets: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filings: [{ form, date, url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marketData: { price, marketCap, peers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management: [{ name, title, bio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STAGE 3: LLM NARRATIVE GENERATION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System Prompt: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"You are an equity research analyst. Using ONLY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the verified data provided below, write the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[section name] of an initiation report.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Do NOT invent any financial figures."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Input: Structured data package (above)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Output: Section-by-section narrative text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STAGE 4: REPORT ASSEMBLY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Charts generated from verified data (matplotlib)│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Tables populated from XBRL data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Narrative sections from LLM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Assembled into bi-column PDF template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Every figure linked to SEC accession number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Available Financial Metrics</w:t>
      </w:r>
    </w:p>
    <w:p>
      <w:pPr>
        <w:pStyle w:val="MdParagraph"/>
      </w:pPr>
      <w:r>
        <w:t xml:space="preserve">The XBRL Company Facts API provides access to hundreds of standardized financial concepts. The table below lists the most relevant ones for IPO initiation reports, along with the XBRL taxonomy tags used to extract them.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Report Section</w:t>
            </w:r>
          </w:p>
        </w:tc>
        <w:tc>
          <w:tcPr>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XBRL Concept(s)</w:t>
            </w:r>
          </w:p>
        </w:tc>
        <w:tc>
          <w:tcPr>
            <w:tcBorders>
              <w:right w:val="none"/>
            </w:tcBorders>
            <w:tcMar>
              <w:top w:type="dxa" w:w="100"/>
              <w:left w:type="dxa" w:w="120"/>
              <w:bottom w:type="dxa" w:w="100"/>
              <w:right w:type="dxa" w:w="120"/>
            </w:tcMar>
            <w:vAlign w:val="center"/>
          </w:tcPr>
          <w:p>
            <w:pPr>
              <w:pStyle w:val="MdTableHeader"/>
            </w:pPr>
            <w:r>
              <w:t xml:space="preserve">Unit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Income Statement</w:t>
            </w:r>
          </w:p>
        </w:tc>
        <w:tc>
          <w:tcPr>
            <w:tcMar>
              <w:top w:type="dxa" w:w="80"/>
              <w:left w:type="dxa" w:w="120"/>
              <w:bottom w:type="dxa" w:w="80"/>
              <w:right w:type="dxa" w:w="120"/>
            </w:tcMar>
            <w:vAlign w:val="center"/>
          </w:tcPr>
          <w:p>
            <w:pPr>
              <w:pStyle w:val="MdTableCell"/>
            </w:pPr>
            <w:r>
              <w:t xml:space="preserve">Revenue</w:t>
            </w:r>
          </w:p>
        </w:tc>
        <w:tc>
          <w:tcPr>
            <w:tcMar>
              <w:top w:type="dxa" w:w="80"/>
              <w:left w:type="dxa" w:w="120"/>
              <w:bottom w:type="dxa" w:w="80"/>
              <w:right w:type="dxa" w:w="120"/>
            </w:tcMar>
            <w:vAlign w:val="center"/>
          </w:tcPr>
          <w:p>
            <w:pPr>
              <w:pStyle w:val="MdTableCell"/>
            </w:pPr>
            <w:r>
              <w:rPr>
                <w:rStyle w:val="MdCode"/>
                <w:u w:val="single"/>
              </w:rPr>
              <w:t xml:space="preserve">Revenues</w:t>
            </w:r>
            <w:r>
              <w:t xml:space="preserve">, </w:t>
            </w:r>
            <w:r>
              <w:rPr>
                <w:rStyle w:val="MdCode"/>
                <w:u w:val="single"/>
              </w:rPr>
              <w:t xml:space="preserve">RevenueFromContractWithCustomerExcludingAssessedTax</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Cost of Revenue</w:t>
            </w:r>
          </w:p>
        </w:tc>
        <w:tc>
          <w:tcPr>
            <w:tcMar>
              <w:top w:type="dxa" w:w="80"/>
              <w:left w:type="dxa" w:w="120"/>
              <w:bottom w:type="dxa" w:w="80"/>
              <w:right w:type="dxa" w:w="120"/>
            </w:tcMar>
            <w:vAlign w:val="center"/>
          </w:tcPr>
          <w:p>
            <w:pPr>
              <w:pStyle w:val="MdTableCell"/>
            </w:pPr>
            <w:r>
              <w:rPr>
                <w:rStyle w:val="MdCode"/>
                <w:u w:val="single"/>
              </w:rPr>
              <w:t xml:space="preserve">CostOfRevenue</w:t>
            </w:r>
            <w:r>
              <w:t xml:space="preserve">, </w:t>
            </w:r>
            <w:r>
              <w:rPr>
                <w:rStyle w:val="MdCode"/>
                <w:u w:val="single"/>
              </w:rPr>
              <w:t xml:space="preserve">CostOfGoodsAndServicesSold</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Gross Profit</w:t>
            </w:r>
          </w:p>
        </w:tc>
        <w:tc>
          <w:tcPr>
            <w:tcMar>
              <w:top w:type="dxa" w:w="80"/>
              <w:left w:type="dxa" w:w="120"/>
              <w:bottom w:type="dxa" w:w="80"/>
              <w:right w:type="dxa" w:w="120"/>
            </w:tcMar>
            <w:vAlign w:val="center"/>
          </w:tcPr>
          <w:p>
            <w:pPr>
              <w:pStyle w:val="MdTableCell"/>
            </w:pPr>
            <w:r>
              <w:rPr>
                <w:rStyle w:val="MdCode"/>
                <w:u w:val="single"/>
              </w:rPr>
              <w:t xml:space="preserve">GrossProfit</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Operating Income</w:t>
            </w:r>
          </w:p>
        </w:tc>
        <w:tc>
          <w:tcPr>
            <w:tcMar>
              <w:top w:type="dxa" w:w="80"/>
              <w:left w:type="dxa" w:w="120"/>
              <w:bottom w:type="dxa" w:w="80"/>
              <w:right w:type="dxa" w:w="120"/>
            </w:tcMar>
            <w:vAlign w:val="center"/>
          </w:tcPr>
          <w:p>
            <w:pPr>
              <w:pStyle w:val="MdTableCell"/>
            </w:pPr>
            <w:r>
              <w:rPr>
                <w:rStyle w:val="MdCode"/>
                <w:u w:val="single"/>
              </w:rPr>
              <w:t xml:space="preserve">OperatingIncomeLoss</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Net Income</w:t>
            </w:r>
          </w:p>
        </w:tc>
        <w:tc>
          <w:tcPr>
            <w:tcMar>
              <w:top w:type="dxa" w:w="80"/>
              <w:left w:type="dxa" w:w="120"/>
              <w:bottom w:type="dxa" w:w="80"/>
              <w:right w:type="dxa" w:w="120"/>
            </w:tcMar>
            <w:vAlign w:val="center"/>
          </w:tcPr>
          <w:p>
            <w:pPr>
              <w:pStyle w:val="MdTableCell"/>
            </w:pPr>
            <w:r>
              <w:rPr>
                <w:rStyle w:val="MdCode"/>
                <w:u w:val="single"/>
              </w:rPr>
              <w:t xml:space="preserve">NetIncomeLoss</w:t>
            </w:r>
            <w:r>
              <w:t xml:space="preserve">, </w:t>
            </w:r>
            <w:r>
              <w:rPr>
                <w:rStyle w:val="MdCode"/>
                <w:u w:val="single"/>
              </w:rPr>
              <w:t xml:space="preserve">ProfitLoss</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EPS (Basic)</w:t>
            </w:r>
          </w:p>
        </w:tc>
        <w:tc>
          <w:tcPr>
            <w:tcMar>
              <w:top w:type="dxa" w:w="80"/>
              <w:left w:type="dxa" w:w="120"/>
              <w:bottom w:type="dxa" w:w="80"/>
              <w:right w:type="dxa" w:w="120"/>
            </w:tcMar>
            <w:vAlign w:val="center"/>
          </w:tcPr>
          <w:p>
            <w:pPr>
              <w:pStyle w:val="MdTableCell"/>
            </w:pPr>
            <w:r>
              <w:rPr>
                <w:rStyle w:val="MdCode"/>
                <w:u w:val="single"/>
              </w:rPr>
              <w:t xml:space="preserve">EarningsPerShareBasic</w:t>
            </w:r>
          </w:p>
        </w:tc>
        <w:tc>
          <w:tcPr>
            <w:tcBorders>
              <w:right w:val="none"/>
            </w:tcBorders>
            <w:tcMar>
              <w:top w:type="dxa" w:w="80"/>
              <w:left w:type="dxa" w:w="120"/>
              <w:bottom w:type="dxa" w:w="80"/>
              <w:right w:type="dxa" w:w="120"/>
            </w:tcMar>
            <w:vAlign w:val="center"/>
          </w:tcPr>
          <w:p>
            <w:pPr>
              <w:pStyle w:val="MdTableCell"/>
            </w:pPr>
            <w:r>
              <w:t xml:space="preserve">USD/shares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EPS (Diluted)</w:t>
            </w:r>
          </w:p>
        </w:tc>
        <w:tc>
          <w:tcPr>
            <w:tcMar>
              <w:top w:type="dxa" w:w="80"/>
              <w:left w:type="dxa" w:w="120"/>
              <w:bottom w:type="dxa" w:w="80"/>
              <w:right w:type="dxa" w:w="120"/>
            </w:tcMar>
            <w:vAlign w:val="center"/>
          </w:tcPr>
          <w:p>
            <w:pPr>
              <w:pStyle w:val="MdTableCell"/>
            </w:pPr>
            <w:r>
              <w:rPr>
                <w:rStyle w:val="MdCode"/>
                <w:u w:val="single"/>
              </w:rPr>
              <w:t xml:space="preserve">EarningsPerShareDiluted</w:t>
            </w:r>
          </w:p>
        </w:tc>
        <w:tc>
          <w:tcPr>
            <w:tcBorders>
              <w:right w:val="none"/>
            </w:tcBorders>
            <w:tcMar>
              <w:top w:type="dxa" w:w="80"/>
              <w:left w:type="dxa" w:w="120"/>
              <w:bottom w:type="dxa" w:w="80"/>
              <w:right w:type="dxa" w:w="120"/>
            </w:tcMar>
            <w:vAlign w:val="center"/>
          </w:tcPr>
          <w:p>
            <w:pPr>
              <w:pStyle w:val="MdTableCell"/>
            </w:pPr>
            <w:r>
              <w:t xml:space="preserve">USD/shares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Balance Sheet</w:t>
            </w:r>
          </w:p>
        </w:tc>
        <w:tc>
          <w:tcPr>
            <w:tcMar>
              <w:top w:type="dxa" w:w="80"/>
              <w:left w:type="dxa" w:w="120"/>
              <w:bottom w:type="dxa" w:w="80"/>
              <w:right w:type="dxa" w:w="120"/>
            </w:tcMar>
            <w:vAlign w:val="center"/>
          </w:tcPr>
          <w:p>
            <w:pPr>
              <w:pStyle w:val="MdTableCell"/>
            </w:pPr>
            <w:r>
              <w:t xml:space="preserve">Total Assets</w:t>
            </w:r>
          </w:p>
        </w:tc>
        <w:tc>
          <w:tcPr>
            <w:tcMar>
              <w:top w:type="dxa" w:w="80"/>
              <w:left w:type="dxa" w:w="120"/>
              <w:bottom w:type="dxa" w:w="80"/>
              <w:right w:type="dxa" w:w="120"/>
            </w:tcMar>
            <w:vAlign w:val="center"/>
          </w:tcPr>
          <w:p>
            <w:pPr>
              <w:pStyle w:val="MdTableCell"/>
            </w:pPr>
            <w:r>
              <w:rPr>
                <w:rStyle w:val="MdCode"/>
                <w:u w:val="single"/>
              </w:rPr>
              <w:t xml:space="preserve">Assets</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Total Liabilities</w:t>
            </w:r>
          </w:p>
        </w:tc>
        <w:tc>
          <w:tcPr>
            <w:tcMar>
              <w:top w:type="dxa" w:w="80"/>
              <w:left w:type="dxa" w:w="120"/>
              <w:bottom w:type="dxa" w:w="80"/>
              <w:right w:type="dxa" w:w="120"/>
            </w:tcMar>
            <w:vAlign w:val="center"/>
          </w:tcPr>
          <w:p>
            <w:pPr>
              <w:pStyle w:val="MdTableCell"/>
            </w:pPr>
            <w:r>
              <w:rPr>
                <w:rStyle w:val="MdCode"/>
                <w:u w:val="single"/>
              </w:rPr>
              <w:t xml:space="preserve">Liabilities</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Stockholders' Equity</w:t>
            </w:r>
          </w:p>
        </w:tc>
        <w:tc>
          <w:tcPr>
            <w:tcMar>
              <w:top w:type="dxa" w:w="80"/>
              <w:left w:type="dxa" w:w="120"/>
              <w:bottom w:type="dxa" w:w="80"/>
              <w:right w:type="dxa" w:w="120"/>
            </w:tcMar>
            <w:vAlign w:val="center"/>
          </w:tcPr>
          <w:p>
            <w:pPr>
              <w:pStyle w:val="MdTableCell"/>
            </w:pPr>
            <w:r>
              <w:rPr>
                <w:rStyle w:val="MdCode"/>
                <w:u w:val="single"/>
              </w:rPr>
              <w:t xml:space="preserve">StockholdersEquity</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Cash &amp; Equivalents</w:t>
            </w:r>
          </w:p>
        </w:tc>
        <w:tc>
          <w:tcPr>
            <w:tcMar>
              <w:top w:type="dxa" w:w="80"/>
              <w:left w:type="dxa" w:w="120"/>
              <w:bottom w:type="dxa" w:w="80"/>
              <w:right w:type="dxa" w:w="120"/>
            </w:tcMar>
            <w:vAlign w:val="center"/>
          </w:tcPr>
          <w:p>
            <w:pPr>
              <w:pStyle w:val="MdTableCell"/>
            </w:pPr>
            <w:r>
              <w:rPr>
                <w:rStyle w:val="MdCode"/>
                <w:u w:val="single"/>
              </w:rPr>
              <w:t xml:space="preserve">CashAndCashEquivalentsAtCarryingValue</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Total Debt</w:t>
            </w:r>
          </w:p>
        </w:tc>
        <w:tc>
          <w:tcPr>
            <w:tcMar>
              <w:top w:type="dxa" w:w="80"/>
              <w:left w:type="dxa" w:w="120"/>
              <w:bottom w:type="dxa" w:w="80"/>
              <w:right w:type="dxa" w:w="120"/>
            </w:tcMar>
            <w:vAlign w:val="center"/>
          </w:tcPr>
          <w:p>
            <w:pPr>
              <w:pStyle w:val="MdTableCell"/>
            </w:pPr>
            <w:r>
              <w:rPr>
                <w:rStyle w:val="MdCode"/>
                <w:u w:val="single"/>
              </w:rPr>
              <w:t xml:space="preserve">LongTermDebt</w:t>
            </w:r>
            <w:r>
              <w:t xml:space="preserve">, </w:t>
            </w:r>
            <w:r>
              <w:rPr>
                <w:rStyle w:val="MdCode"/>
                <w:u w:val="single"/>
              </w:rPr>
              <w:t xml:space="preserve">ShortTermBorrowings</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Cash Flow</w:t>
            </w:r>
          </w:p>
        </w:tc>
        <w:tc>
          <w:tcPr>
            <w:tcMar>
              <w:top w:type="dxa" w:w="80"/>
              <w:left w:type="dxa" w:w="120"/>
              <w:bottom w:type="dxa" w:w="80"/>
              <w:right w:type="dxa" w:w="120"/>
            </w:tcMar>
            <w:vAlign w:val="center"/>
          </w:tcPr>
          <w:p>
            <w:pPr>
              <w:pStyle w:val="MdTableCell"/>
            </w:pPr>
            <w:r>
              <w:t xml:space="preserve">Operating Cash Flow</w:t>
            </w:r>
          </w:p>
        </w:tc>
        <w:tc>
          <w:tcPr>
            <w:tcMar>
              <w:top w:type="dxa" w:w="80"/>
              <w:left w:type="dxa" w:w="120"/>
              <w:bottom w:type="dxa" w:w="80"/>
              <w:right w:type="dxa" w:w="120"/>
            </w:tcMar>
            <w:vAlign w:val="center"/>
          </w:tcPr>
          <w:p>
            <w:pPr>
              <w:pStyle w:val="MdTableCell"/>
            </w:pPr>
            <w:r>
              <w:rPr>
                <w:rStyle w:val="MdCode"/>
                <w:u w:val="single"/>
              </w:rPr>
              <w:t xml:space="preserve">NetCashProvidedByUsedInOperatingActivities</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CapEx</w:t>
            </w:r>
          </w:p>
        </w:tc>
        <w:tc>
          <w:tcPr>
            <w:tcMar>
              <w:top w:type="dxa" w:w="80"/>
              <w:left w:type="dxa" w:w="120"/>
              <w:bottom w:type="dxa" w:w="80"/>
              <w:right w:type="dxa" w:w="120"/>
            </w:tcMar>
            <w:vAlign w:val="center"/>
          </w:tcPr>
          <w:p>
            <w:pPr>
              <w:pStyle w:val="MdTableCell"/>
            </w:pPr>
            <w:r>
              <w:rPr>
                <w:rStyle w:val="MdCode"/>
                <w:u w:val="single"/>
              </w:rPr>
              <w:t xml:space="preserve">PaymentsToAcquirePropertyPlantAndEquipment</w:t>
            </w:r>
          </w:p>
        </w:tc>
        <w:tc>
          <w:tcPr>
            <w:tcBorders>
              <w:right w:val="none"/>
            </w:tcBorders>
            <w:tcMar>
              <w:top w:type="dxa" w:w="80"/>
              <w:left w:type="dxa" w:w="120"/>
              <w:bottom w:type="dxa" w:w="80"/>
              <w:right w:type="dxa" w:w="120"/>
            </w:tcMar>
            <w:vAlign w:val="center"/>
          </w:tcPr>
          <w:p>
            <w:pPr>
              <w:pStyle w:val="MdTableCell"/>
            </w:pPr>
            <w:r>
              <w:t xml:space="preserve">USD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Share Data</w:t>
            </w:r>
          </w:p>
        </w:tc>
        <w:tc>
          <w:tcPr>
            <w:tcMar>
              <w:top w:type="dxa" w:w="80"/>
              <w:left w:type="dxa" w:w="120"/>
              <w:bottom w:type="dxa" w:w="80"/>
              <w:right w:type="dxa" w:w="120"/>
            </w:tcMar>
            <w:vAlign w:val="center"/>
          </w:tcPr>
          <w:p>
            <w:pPr>
              <w:pStyle w:val="MdTableCell"/>
            </w:pPr>
            <w:r>
              <w:t xml:space="preserve">Shares Outstanding</w:t>
            </w:r>
          </w:p>
        </w:tc>
        <w:tc>
          <w:tcPr>
            <w:tcMar>
              <w:top w:type="dxa" w:w="80"/>
              <w:left w:type="dxa" w:w="120"/>
              <w:bottom w:type="dxa" w:w="80"/>
              <w:right w:type="dxa" w:w="120"/>
            </w:tcMar>
            <w:vAlign w:val="center"/>
          </w:tcPr>
          <w:p>
            <w:pPr>
              <w:pStyle w:val="MdTableCell"/>
            </w:pPr>
            <w:r>
              <w:rPr>
                <w:rStyle w:val="MdCode"/>
                <w:u w:val="single"/>
              </w:rPr>
              <w:t xml:space="preserve">CommonStockSharesOutstanding</w:t>
            </w:r>
          </w:p>
        </w:tc>
        <w:tc>
          <w:tcPr>
            <w:tcBorders>
              <w:right w:val="none"/>
            </w:tcBorders>
            <w:tcMar>
              <w:top w:type="dxa" w:w="80"/>
              <w:left w:type="dxa" w:w="120"/>
              <w:bottom w:type="dxa" w:w="80"/>
              <w:right w:type="dxa" w:w="120"/>
            </w:tcMar>
            <w:vAlign w:val="center"/>
          </w:tcPr>
          <w:p>
            <w:pPr>
              <w:pStyle w:val="MdTableCell"/>
            </w:pPr>
            <w:r>
              <w:t xml:space="preserve">shares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r>
              <w:t xml:space="preserve">Weighted Avg Shares</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WeightedAverageNumberOfShareOutstandingBasicAndDiluted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shares</w:t>
            </w:r>
          </w:p>
        </w:tc>
      </w:tr>
    </w:tbl>
    <w:p>
      <w:pPr>
        <w:pStyle w:val="MdHr"/>
        <w:pBdr>
          <w:bottom w:val="single" w:color="auto" w:sz="6" w:space="1"/>
        </w:pBdr>
      </w:pPr>
    </w:p>
    <w:p>
      <w:pPr>
        <w:pStyle w:val="MdSpace"/>
        <w:spacing w:before="0" w:after="60"/>
      </w:pPr>
    </w:p>
    <w:p>
      <w:pPr>
        <w:pStyle w:val="Heading2"/>
        <w:pStyle w:val="MdHeading2"/>
      </w:pPr>
      <w:r>
        <w:t xml:space="preserve">6. Rate Limits and Compliance</w:t>
      </w:r>
    </w:p>
    <w:p>
      <w:pPr>
        <w:pStyle w:val="MdParagraph"/>
      </w:pPr>
      <w:r>
        <w:t xml:space="preserve">The SEC requires all automated access to include a </w:t>
      </w:r>
      <w:r>
        <w:rPr>
          <w:rStyle w:val="MdCode"/>
          <w:u w:val="single"/>
        </w:rPr>
        <w:t xml:space="preserve">User-Agent</w:t>
      </w:r>
      <w:r>
        <w:t xml:space="preserve"> header with a company name and contact email. The rate limit is 10 requests per second. Our client implements a 110ms minimum interval between requests (approximately 9 requests per second) to stay safely under the limit.</w:t>
      </w:r>
    </w:p>
    <w:p>
      <w:pPr>
        <w:pStyle w:val="MdSpace"/>
        <w:spacing w:before="0" w:after="60"/>
      </w:pPr>
    </w:p>
    <w:p>
      <w:pPr>
        <w:pStyle w:val="MdParagraph"/>
      </w:pPr>
      <w:r>
        <w:t xml:space="preserve">For production use with high traffic, the SEC also provides bulk ZIP files updated nightly that contain all company facts and submissions data. These can be downloaded once and cached locally, eliminating the need for per-request API calls entirely.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Integration with IPO Radar AI</w:t>
      </w:r>
    </w:p>
    <w:p>
      <w:pPr>
        <w:pStyle w:val="MdParagraph"/>
      </w:pPr>
      <w:r>
        <w:t xml:space="preserve">The EDGAR client module is located at </w:t>
      </w:r>
      <w:r>
        <w:rPr>
          <w:rStyle w:val="MdCode"/>
          <w:u w:val="single"/>
        </w:rPr>
        <w:t xml:space="preserve">server/edgar/client.ts</w:t>
      </w:r>
      <w:r>
        <w:t xml:space="preserve"> and exports the following functions: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Function</w:t>
            </w:r>
          </w:p>
        </w:tc>
        <w:tc>
          <w:tcPr>
            <w:tcMar>
              <w:top w:type="dxa" w:w="100"/>
              <w:left w:type="dxa" w:w="120"/>
              <w:bottom w:type="dxa" w:w="100"/>
              <w:right w:type="dxa" w:w="120"/>
            </w:tcMar>
            <w:vAlign w:val="center"/>
          </w:tcPr>
          <w:p>
            <w:pPr>
              <w:pStyle w:val="MdTableHeader"/>
            </w:pPr>
            <w:r>
              <w:t xml:space="preserve">Purpose</w:t>
            </w:r>
          </w:p>
        </w:tc>
        <w:tc>
          <w:tcPr>
            <w:tcBorders>
              <w:right w:val="none"/>
            </w:tcBorders>
            <w:tcMar>
              <w:top w:type="dxa" w:w="100"/>
              <w:left w:type="dxa" w:w="120"/>
              <w:bottom w:type="dxa" w:w="100"/>
              <w:right w:type="dxa" w:w="120"/>
            </w:tcMar>
            <w:vAlign w:val="center"/>
          </w:tcPr>
          <w:p>
            <w:pPr>
              <w:pStyle w:val="MdTableHeader"/>
            </w:pPr>
            <w:r>
              <w:t xml:space="preserve">Returns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lookupCIK(ticker)</w:t>
            </w:r>
          </w:p>
        </w:tc>
        <w:tc>
          <w:tcPr>
            <w:tcMar>
              <w:top w:type="dxa" w:w="80"/>
              <w:left w:type="dxa" w:w="120"/>
              <w:bottom w:type="dxa" w:w="80"/>
              <w:right w:type="dxa" w:w="120"/>
            </w:tcMar>
            <w:vAlign w:val="center"/>
          </w:tcPr>
          <w:p>
            <w:pPr>
              <w:pStyle w:val="MdTableCell"/>
            </w:pPr>
            <w:r>
              <w:t xml:space="preserve">Resolve ticker to CIK</w:t>
            </w:r>
          </w:p>
        </w:tc>
        <w:tc>
          <w:tcPr>
            <w:tcBorders>
              <w:right w:val="none"/>
            </w:tcBorders>
            <w:tcMar>
              <w:top w:type="dxa" w:w="80"/>
              <w:left w:type="dxa" w:w="120"/>
              <w:bottom w:type="dxa" w:w="80"/>
              <w:right w:type="dxa" w:w="120"/>
            </w:tcMar>
            <w:vAlign w:val="center"/>
          </w:tcPr>
          <w:p>
            <w:pPr>
              <w:pStyle w:val="MdTableCell"/>
            </w:pPr>
            <w:r>
              <w:t xml:space="preserve">CIK string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getCompanySubmissions(cik)</w:t>
            </w:r>
          </w:p>
        </w:tc>
        <w:tc>
          <w:tcPr>
            <w:tcMar>
              <w:top w:type="dxa" w:w="80"/>
              <w:left w:type="dxa" w:w="120"/>
              <w:bottom w:type="dxa" w:w="80"/>
              <w:right w:type="dxa" w:w="120"/>
            </w:tcMar>
            <w:vAlign w:val="center"/>
          </w:tcPr>
          <w:p>
            <w:pPr>
              <w:pStyle w:val="MdTableCell"/>
            </w:pPr>
            <w:r>
              <w:t xml:space="preserve">Company metadata + filing history</w:t>
            </w:r>
          </w:p>
        </w:tc>
        <w:tc>
          <w:tcPr>
            <w:tcBorders>
              <w:right w:val="none"/>
            </w:tcBorders>
            <w:tcMar>
              <w:top w:type="dxa" w:w="80"/>
              <w:left w:type="dxa" w:w="120"/>
              <w:bottom w:type="dxa" w:w="80"/>
              <w:right w:type="dxa" w:w="120"/>
            </w:tcMar>
            <w:vAlign w:val="center"/>
          </w:tcPr>
          <w:p>
            <w:pPr>
              <w:pStyle w:val="MdTableCell"/>
            </w:pPr>
            <w:r>
              <w:t xml:space="preserve">Full company info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getRecentFilings(cik, formFilter?)</w:t>
            </w:r>
          </w:p>
        </w:tc>
        <w:tc>
          <w:tcPr>
            <w:tcMar>
              <w:top w:type="dxa" w:w="80"/>
              <w:left w:type="dxa" w:w="120"/>
              <w:bottom w:type="dxa" w:w="80"/>
              <w:right w:type="dxa" w:w="120"/>
            </w:tcMar>
            <w:vAlign w:val="center"/>
          </w:tcPr>
          <w:p>
            <w:pPr>
              <w:pStyle w:val="MdTableCell"/>
            </w:pPr>
            <w:r>
              <w:t xml:space="preserve">Clean array of recent filings</w:t>
            </w:r>
          </w:p>
        </w:tc>
        <w:tc>
          <w:tcPr>
            <w:tcBorders>
              <w:right w:val="none"/>
            </w:tcBorders>
            <w:tcMar>
              <w:top w:type="dxa" w:w="80"/>
              <w:left w:type="dxa" w:w="120"/>
              <w:bottom w:type="dxa" w:w="80"/>
              <w:right w:type="dxa" w:w="120"/>
            </w:tcMar>
            <w:vAlign w:val="center"/>
          </w:tcPr>
          <w:p>
            <w:pPr>
              <w:pStyle w:val="MdTableCell"/>
            </w:pPr>
            <w:r>
              <w:t xml:space="preserve">Filing objects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getCompanyFacts(cik)</w:t>
            </w:r>
          </w:p>
        </w:tc>
        <w:tc>
          <w:tcPr>
            <w:tcMar>
              <w:top w:type="dxa" w:w="80"/>
              <w:left w:type="dxa" w:w="120"/>
              <w:bottom w:type="dxa" w:w="80"/>
              <w:right w:type="dxa" w:w="120"/>
            </w:tcMar>
            <w:vAlign w:val="center"/>
          </w:tcPr>
          <w:p>
            <w:pPr>
              <w:pStyle w:val="MdTableCell"/>
            </w:pPr>
            <w:r>
              <w:t xml:space="preserve">All XBRL financial data</w:t>
            </w:r>
          </w:p>
        </w:tc>
        <w:tc>
          <w:tcPr>
            <w:tcBorders>
              <w:right w:val="none"/>
            </w:tcBorders>
            <w:tcMar>
              <w:top w:type="dxa" w:w="80"/>
              <w:left w:type="dxa" w:w="120"/>
              <w:bottom w:type="dxa" w:w="80"/>
              <w:right w:type="dxa" w:w="120"/>
            </w:tcMar>
            <w:vAlign w:val="center"/>
          </w:tcPr>
          <w:p>
            <w:pPr>
              <w:pStyle w:val="MdTableCell"/>
            </w:pPr>
            <w:r>
              <w:t xml:space="preserve">Raw XBRL JSON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getCompanyFinancials(cik)</w:t>
            </w:r>
          </w:p>
        </w:tc>
        <w:tc>
          <w:tcPr>
            <w:tcMar>
              <w:top w:type="dxa" w:w="80"/>
              <w:left w:type="dxa" w:w="120"/>
              <w:bottom w:type="dxa" w:w="80"/>
              <w:right w:type="dxa" w:w="120"/>
            </w:tcMar>
            <w:vAlign w:val="center"/>
          </w:tcPr>
          <w:p>
            <w:pPr>
              <w:pStyle w:val="MdTableCell"/>
            </w:pPr>
            <w:r>
              <w:t xml:space="preserve">Structured financial data</w:t>
            </w:r>
          </w:p>
        </w:tc>
        <w:tc>
          <w:tcPr>
            <w:tcBorders>
              <w:right w:val="none"/>
            </w:tcBorders>
            <w:tcMar>
              <w:top w:type="dxa" w:w="80"/>
              <w:left w:type="dxa" w:w="120"/>
              <w:bottom w:type="dxa" w:w="80"/>
              <w:right w:type="dxa" w:w="120"/>
            </w:tcMar>
            <w:vAlign w:val="center"/>
          </w:tcPr>
          <w:p>
            <w:pPr>
              <w:pStyle w:val="MdTableCell"/>
            </w:pPr>
            <w:r>
              <w:t xml:space="preserve">Revenue, income, assets, etc.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searchFilings(params)</w:t>
            </w:r>
          </w:p>
        </w:tc>
        <w:tc>
          <w:tcPr>
            <w:tcMar>
              <w:top w:type="dxa" w:w="80"/>
              <w:left w:type="dxa" w:w="120"/>
              <w:bottom w:type="dxa" w:w="80"/>
              <w:right w:type="dxa" w:w="120"/>
            </w:tcMar>
            <w:vAlign w:val="center"/>
          </w:tcPr>
          <w:p>
            <w:pPr>
              <w:pStyle w:val="MdTableCell"/>
            </w:pPr>
            <w:r>
              <w:t xml:space="preserve">Full-text search across filings</w:t>
            </w:r>
          </w:p>
        </w:tc>
        <w:tc>
          <w:tcPr>
            <w:tcBorders>
              <w:right w:val="none"/>
            </w:tcBorders>
            <w:tcMar>
              <w:top w:type="dxa" w:w="80"/>
              <w:left w:type="dxa" w:w="120"/>
              <w:bottom w:type="dxa" w:w="80"/>
              <w:right w:type="dxa" w:w="120"/>
            </w:tcMar>
            <w:vAlign w:val="center"/>
          </w:tcPr>
          <w:p>
            <w:pPr>
              <w:pStyle w:val="MdTableCell"/>
            </w:pPr>
            <w:r>
              <w:t xml:space="preserve">Search results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searchIPOFilings(params?)</w:t>
            </w:r>
          </w:p>
        </w:tc>
        <w:tc>
          <w:tcPr>
            <w:tcMar>
              <w:top w:type="dxa" w:w="80"/>
              <w:left w:type="dxa" w:w="120"/>
              <w:bottom w:type="dxa" w:w="80"/>
              <w:right w:type="dxa" w:w="120"/>
            </w:tcMar>
            <w:vAlign w:val="center"/>
          </w:tcPr>
          <w:p>
            <w:pPr>
              <w:pStyle w:val="MdTableCell"/>
            </w:pPr>
            <w:r>
              <w:t xml:space="preserve">Search for S-1/F-1 filings</w:t>
            </w:r>
          </w:p>
        </w:tc>
        <w:tc>
          <w:tcPr>
            <w:tcBorders>
              <w:right w:val="none"/>
            </w:tcBorders>
            <w:tcMar>
              <w:top w:type="dxa" w:w="80"/>
              <w:left w:type="dxa" w:w="120"/>
              <w:bottom w:type="dxa" w:w="80"/>
              <w:right w:type="dxa" w:w="120"/>
            </w:tcMar>
            <w:vAlign w:val="center"/>
          </w:tcPr>
          <w:p>
            <w:pPr>
              <w:pStyle w:val="MdTableCell"/>
            </w:pPr>
            <w:r>
              <w:t xml:space="preserve">IPO filing results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getIPOReportData(tickerOrCik)</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Complete report data package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Everything needed for a report</w:t>
            </w:r>
          </w:p>
        </w:tc>
      </w:tr>
    </w:tbl>
    <w:p>
      <w:pPr>
        <w:pStyle w:val="MdParagraph"/>
      </w:pPr>
      <w:r>
        <w:t xml:space="preserve">The </w:t>
      </w:r>
      <w:r>
        <w:rPr>
          <w:rStyle w:val="MdCode"/>
          <w:u w:val="single"/>
        </w:rPr>
        <w:t xml:space="preserve">getIPOReportData()</w:t>
      </w:r>
      <w:r>
        <w:t xml:space="preserve"> function is the main entry point. It takes a ticker or CIK, resolves the company, fetches all filings and financial data, and returns a structured data package ready for the LLM narrative generation stage.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Next Steps</w:t>
      </w:r>
    </w:p>
    <w:p>
      <w:pPr>
        <w:pStyle w:val="MdParagraph"/>
      </w:pPr>
      <w:r>
        <w:t xml:space="preserve">The integration is built and tested. The remaining work to make this production-ready involves three items. First, </w:t>
      </w:r>
      <w:r>
        <w:rPr>
          <w:rStyle w:val="MdStrong"/>
          <w:b/>
          <w:bCs/>
        </w:rPr>
        <w:t xml:space="preserve">connecting the EDGAR client to the existing AI Report tRPC procedure</w:t>
      </w:r>
      <w:r>
        <w:t xml:space="preserve"> so that when a user requests a report, the system fetches real data before invoking the LLM. Second, </w:t>
      </w:r>
      <w:r>
        <w:rPr>
          <w:rStyle w:val="MdStrong"/>
          <w:b/>
          <w:bCs/>
        </w:rPr>
        <w:t xml:space="preserve">adding a market data layer</w:t>
      </w:r>
      <w:r>
        <w:t xml:space="preserve"> (via the Yahoo Finance Data API already available in our stack) to supplement EDGAR data with real-time stock prices, analyst consensus, and peer multiples. Third, </w:t>
      </w:r>
      <w:r>
        <w:rPr>
          <w:rStyle w:val="MdStrong"/>
          <w:b/>
          <w:bCs/>
        </w:rPr>
        <w:t xml:space="preserve">implementing caching</w:t>
      </w:r>
      <w:r>
        <w:t xml:space="preserve"> so that frequently requested companies do not hit the EDGAR API on every report generation — a simple 24-hour cache with manual refresh would suffice.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SEC EDGAR API Documentation: </w:t>
      </w:r>
      <w:hyperlink w:history="1" r:id="rId_0fhrjedocsvc26ei-3d8">
        <w:r>
          <w:rPr>
            <w:rStyle w:val="MdLink"/>
          </w:rPr>
          <w:t xml:space="preserve">https://www.sec.gov/search-filings/edgar-application-programming-interfaces</w:t>
        </w:r>
      </w:hyperlink>
      <w:r>
        <w:rPr>
          <w:rStyle w:val="MdBr"/>
        </w:rPr>
        <w:br/>
        <w:t xml:space="preserve"/>
      </w:r>
      <w:r>
        <w:t xml:space="preserve">[2] EDGAR Full-Text Search: </w:t>
      </w:r>
      <w:hyperlink w:history="1" r:id="rIdxh29xgiagbokasfwhdw7h">
        <w:r>
          <w:rPr>
            <w:rStyle w:val="MdLink"/>
          </w:rPr>
          <w:t xml:space="preserve">https://efts.sec.gov/LATEST/search-index</w:t>
        </w:r>
      </w:hyperlink>
      <w:r>
        <w:rPr>
          <w:rStyle w:val="MdBr"/>
        </w:rPr>
        <w:br/>
        <w:t xml:space="preserve"/>
      </w:r>
      <w:r>
        <w:t xml:space="preserve">[3] SEC Developer Resources: </w:t>
      </w:r>
      <w:hyperlink w:history="1" r:id="rIdlilxlyld3lhdxeg6yzosj">
        <w:r>
          <w:rPr>
            <w:rStyle w:val="MdLink"/>
          </w:rPr>
          <w:t xml:space="preserve">https://www.sec.gov/about/developer-resources</w:t>
        </w:r>
      </w:hyperlink>
      <w:r>
        <w:rPr>
          <w:rStyle w:val="MdBr"/>
        </w:rPr>
        <w:br/>
        <w:t xml:space="preserve"/>
      </w:r>
      <w:r>
        <w:t xml:space="preserve">[4] XBRL US-GAAP Taxonomy: </w:t>
      </w:r>
      <w:hyperlink w:history="1" r:id="rIdwzt3juvkzipfezlbsnr3x">
        <w:r>
          <w:rPr>
            <w:rStyle w:val="MdLink"/>
          </w:rPr>
          <w:t xml:space="preserve">https://xbrl.us/xbrl-taxonomy/2024-us-gaap/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0fhrjedocsvc26ei-3d8" Type="http://schemas.openxmlformats.org/officeDocument/2006/relationships/hyperlink" Target="https://www.sec.gov/search-filings/edgar-application-programming-interfaces" TargetMode="External"/><Relationship Id="rIdxh29xgiagbokasfwhdw7h" Type="http://schemas.openxmlformats.org/officeDocument/2006/relationships/hyperlink" Target="https://efts.sec.gov/LATEST/search-index" TargetMode="External"/><Relationship Id="rIdlilxlyld3lhdxeg6yzosj" Type="http://schemas.openxmlformats.org/officeDocument/2006/relationships/hyperlink" Target="https://www.sec.gov/about/developer-resources" TargetMode="External"/><Relationship Id="rIdwzt3juvkzipfezlbsnr3x" Type="http://schemas.openxmlformats.org/officeDocument/2006/relationships/hyperlink" Target="https://xbrl.us/xbrl-taxonomy/2024-us-gaap/"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2026-04-06T20:42:04.504Z</dcterms:created>
  <dcterms:modified xsi:type="dcterms:W3CDTF">2026-04-06T20:42:04.504Z</dcterms:modified>
</cp:coreProperties>
</file>

<file path=docProps/custom.xml><?xml version="1.0" encoding="utf-8"?>
<Properties xmlns="http://schemas.openxmlformats.org/officeDocument/2006/custom-properties" xmlns:vt="http://schemas.openxmlformats.org/officeDocument/2006/docPropsVTypes"/>
</file>