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d52glx9l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OLTP-система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bo3gsj673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Структура базы данных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OLTP-модель была спроектирована в соответствии с требованиями к нормализованному хранилищу данных, ориентированному на ввод и обновление информации о видеоиграх.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Схема состоит из следующих таблиц: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publishers</w:t>
      </w:r>
      <w:r w:rsidDel="00000000" w:rsidR="00000000" w:rsidRPr="00000000">
        <w:rPr>
          <w:rtl w:val="0"/>
        </w:rPr>
        <w:t xml:space="preserve"> — содержит уникальных издателей игр (id, name)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genres</w:t>
      </w:r>
      <w:r w:rsidDel="00000000" w:rsidR="00000000" w:rsidRPr="00000000">
        <w:rPr>
          <w:rtl w:val="0"/>
        </w:rPr>
        <w:t xml:space="preserve"> — справочник жанров (id, name)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platforms</w:t>
      </w:r>
      <w:r w:rsidDel="00000000" w:rsidR="00000000" w:rsidRPr="00000000">
        <w:rPr>
          <w:rtl w:val="0"/>
        </w:rPr>
        <w:t xml:space="preserve"> — справочник игровых платформ (id, name)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regions</w:t>
      </w:r>
      <w:r w:rsidDel="00000000" w:rsidR="00000000" w:rsidRPr="00000000">
        <w:rPr>
          <w:rtl w:val="0"/>
        </w:rPr>
        <w:t xml:space="preserve"> — справочник регионов продаж (id, name)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games</w:t>
      </w:r>
      <w:r w:rsidDel="00000000" w:rsidR="00000000" w:rsidRPr="00000000">
        <w:rPr>
          <w:rtl w:val="0"/>
        </w:rPr>
        <w:t xml:space="preserve"> — основная таблица с играми: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год выпуска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), ссылки на жанр и издателя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game_platforms</w:t>
      </w:r>
      <w:r w:rsidDel="00000000" w:rsidR="00000000" w:rsidRPr="00000000">
        <w:rPr>
          <w:rtl w:val="0"/>
        </w:rPr>
        <w:t xml:space="preserve"> — связующая таблица многие-ко-многим между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sales</w:t>
      </w:r>
      <w:r w:rsidDel="00000000" w:rsidR="00000000" w:rsidRPr="00000000">
        <w:rPr>
          <w:rtl w:val="0"/>
        </w:rPr>
        <w:t xml:space="preserve"> — факт продаж по регионам и платформам (количество продаж в миллионах)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critics</w:t>
      </w:r>
      <w:r w:rsidDel="00000000" w:rsidR="00000000" w:rsidRPr="00000000">
        <w:rPr>
          <w:rtl w:val="0"/>
        </w:rPr>
        <w:t xml:space="preserve"> — оценки критиков: игра, источник и числовая оценка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tg6pvnzga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Первичные и внешние ключи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таблицы имеют </w:t>
      </w:r>
      <w:r w:rsidDel="00000000" w:rsidR="00000000" w:rsidRPr="00000000">
        <w:rPr>
          <w:b w:val="1"/>
          <w:rtl w:val="0"/>
        </w:rPr>
        <w:t xml:space="preserve">первичные ключи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*_id</w:t>
      </w:r>
      <w:r w:rsidDel="00000000" w:rsidR="00000000" w:rsidRPr="00000000">
        <w:rPr>
          <w:rtl w:val="0"/>
        </w:rPr>
        <w:t xml:space="preserve">) типа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CHAR(2)</w:t>
      </w:r>
      <w:r w:rsidDel="00000000" w:rsidR="00000000" w:rsidRPr="00000000">
        <w:rPr>
          <w:rtl w:val="0"/>
        </w:rPr>
        <w:t xml:space="preserve"> (для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таблицах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game_platforms</w:t>
      </w:r>
      <w:r w:rsidDel="00000000" w:rsidR="00000000" w:rsidRPr="00000000">
        <w:rPr>
          <w:rtl w:val="0"/>
        </w:rPr>
        <w:t xml:space="preserve"> определены </w:t>
      </w:r>
      <w:r w:rsidDel="00000000" w:rsidR="00000000" w:rsidRPr="00000000">
        <w:rPr>
          <w:b w:val="1"/>
          <w:rtl w:val="0"/>
        </w:rPr>
        <w:t xml:space="preserve">внешние ключи</w:t>
      </w:r>
      <w:r w:rsidDel="00000000" w:rsidR="00000000" w:rsidRPr="00000000">
        <w:rPr>
          <w:rtl w:val="0"/>
        </w:rPr>
        <w:t xml:space="preserve">, которые реализуют связи:</w:t>
        <w:br w:type="textWrapping"/>
      </w:r>
    </w:p>
    <w:tbl>
      <w:tblPr>
        <w:tblStyle w:val="Table1"/>
        <w:tblW w:w="8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6575"/>
        <w:tblGridChange w:id="0">
          <w:tblGrid>
            <w:gridCol w:w="1730"/>
            <w:gridCol w:w="65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Таблица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Внешние ключи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publisher_id → publishers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genre_id → genres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game_id → games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platform_id → platforms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region_id → regions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critics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game_id → games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game_platforms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game_id → games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platform_id → platforms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8w43kpd7g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Обоснование структуры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данные нормализованы до </w:t>
      </w:r>
      <w:r w:rsidDel="00000000" w:rsidR="00000000" w:rsidRPr="00000000">
        <w:rPr>
          <w:b w:val="1"/>
          <w:rtl w:val="0"/>
        </w:rPr>
        <w:t xml:space="preserve">третьей нормальной формы (3NF)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Справочники вынесены отдельно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повторяющихся групп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избыточности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ustixiwgo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OLAP-система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ifg4n9jzx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Архитектура OLAP-модели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OLAP-модель реализована в виде </w:t>
      </w:r>
      <w:r w:rsidDel="00000000" w:rsidR="00000000" w:rsidRPr="00000000">
        <w:rPr>
          <w:b w:val="1"/>
          <w:rtl w:val="0"/>
        </w:rPr>
        <w:t xml:space="preserve">снежинки (snowflake schema)</w:t>
      </w:r>
      <w:r w:rsidDel="00000000" w:rsidR="00000000" w:rsidRPr="00000000">
        <w:rPr>
          <w:rtl w:val="0"/>
        </w:rPr>
        <w:t xml:space="preserve">, поскольку размерности нормализованы.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систему входят:</w:t>
      </w: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Факт-таблицы: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fact_sales</w:t>
      </w:r>
      <w:r w:rsidDel="00000000" w:rsidR="00000000" w:rsidRPr="00000000">
        <w:rPr>
          <w:rtl w:val="0"/>
        </w:rPr>
        <w:t xml:space="preserve"> — продажи по платформам и регионам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fact_critic_scores</w:t>
      </w:r>
      <w:r w:rsidDel="00000000" w:rsidR="00000000" w:rsidRPr="00000000">
        <w:rPr>
          <w:rtl w:val="0"/>
        </w:rPr>
        <w:t xml:space="preserve"> — усреднённые оценки критиков по играм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Измерения (dimension tables):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dim_game</w:t>
      </w:r>
      <w:r w:rsidDel="00000000" w:rsidR="00000000" w:rsidRPr="00000000">
        <w:rPr>
          <w:rtl w:val="0"/>
        </w:rPr>
        <w:t xml:space="preserve"> — игры (название, жанр, издатель, год выпуска). Используется подход </w:t>
      </w:r>
      <w:r w:rsidDel="00000000" w:rsidR="00000000" w:rsidRPr="00000000">
        <w:rPr>
          <w:b w:val="1"/>
          <w:rtl w:val="0"/>
        </w:rPr>
        <w:t xml:space="preserve">SCD Type 2</w:t>
      </w:r>
      <w:r w:rsidDel="00000000" w:rsidR="00000000" w:rsidRPr="00000000">
        <w:rPr>
          <w:rtl w:val="0"/>
        </w:rPr>
        <w:t xml:space="preserve">: каждая новая версия игры добавляется как отдельная запись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dim_platform</w:t>
      </w:r>
      <w:r w:rsidDel="00000000" w:rsidR="00000000" w:rsidRPr="00000000">
        <w:rPr>
          <w:rtl w:val="0"/>
        </w:rPr>
        <w:t xml:space="preserve"> — справочник платформ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dim_region</w:t>
      </w:r>
      <w:r w:rsidDel="00000000" w:rsidR="00000000" w:rsidRPr="00000000">
        <w:rPr>
          <w:rtl w:val="0"/>
        </w:rPr>
        <w:t xml:space="preserve"> — справочник регионов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Связующая таблица: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bridge_game_platform</w:t>
      </w:r>
      <w:r w:rsidDel="00000000" w:rsidR="00000000" w:rsidRPr="00000000">
        <w:rPr>
          <w:rtl w:val="0"/>
        </w:rPr>
        <w:t xml:space="preserve"> — связывает игры с платформами (многие ко многим)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e73eb7cl1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ETL-процесс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ETL (Extract – Transform – Load) реализован в виде SQL-скрипта и выполняет следующие действия: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Извлечение данных из OLTP-модели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Агрегация: суммирование продаж, усреднение оценок критиков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Загрузка в размерности и факты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Обновление таблицы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dim_game</w:t>
      </w:r>
      <w:r w:rsidDel="00000000" w:rsidR="00000000" w:rsidRPr="00000000">
        <w:rPr>
          <w:rtl w:val="0"/>
        </w:rPr>
        <w:t xml:space="preserve"> с поддержкой истории изменений (</w:t>
      </w:r>
      <w:r w:rsidDel="00000000" w:rsidR="00000000" w:rsidRPr="00000000">
        <w:rPr>
          <w:b w:val="1"/>
          <w:rtl w:val="0"/>
        </w:rPr>
        <w:t xml:space="preserve">SCD Type 2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изменении жанра, издателя или года игра получает новую запись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Предыдущая версия закрывается (is_current = FALSE)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загрузки защищены от дублирования: используется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 NOT EXISTS</w:t>
      </w:r>
      <w:r w:rsidDel="00000000" w:rsidR="00000000" w:rsidRPr="00000000">
        <w:rPr>
          <w:rtl w:val="0"/>
        </w:rPr>
        <w:t xml:space="preserve"> в INSERT-запросах.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ilcuow37r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Преимущества OLAP-модели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Быстрый доступ к агрегированным данным (для Power BI)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Историчность: фиксация изменений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dim_game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Простота построения отчетов по платформам, жанрам, регионам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многомерного анализа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divf717ju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Отчет в Power BI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визуализации аналитических данных была использована платформа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, подключённая напрямую к OLAP-модели базы данных PostgreSQL.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yqnlx09jz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Основные визуализации отчета: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Гистограмма:</w:t>
      </w:r>
      <w:r w:rsidDel="00000000" w:rsidR="00000000" w:rsidRPr="00000000">
        <w:rPr>
          <w:rtl w:val="0"/>
        </w:rPr>
        <w:t xml:space="preserve"> общие продажи по платформам (в миллионах копий)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Круговая диаграмма:</w:t>
      </w:r>
      <w:r w:rsidDel="00000000" w:rsidR="00000000" w:rsidRPr="00000000">
        <w:rPr>
          <w:rtl w:val="0"/>
        </w:rPr>
        <w:t xml:space="preserve"> доля платформ в общих продажах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Таблица:</w:t>
      </w:r>
      <w:r w:rsidDel="00000000" w:rsidR="00000000" w:rsidRPr="00000000">
        <w:rPr>
          <w:rtl w:val="0"/>
        </w:rPr>
        <w:t xml:space="preserve"> список игр с жанром, издателем и средней оценкой критиков</w:t>
        <w:br w:type="textWrapping"/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rrkhfat8e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Слайсеры (фильтры):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Жанр (жанровое направление игры)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Регион (регион продаж)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визуальные элементы подписаны на </w:t>
      </w:r>
      <w:r w:rsidDel="00000000" w:rsidR="00000000" w:rsidRPr="00000000">
        <w:rPr>
          <w:b w:val="1"/>
          <w:rtl w:val="0"/>
        </w:rPr>
        <w:t xml:space="preserve">русском языке</w:t>
      </w:r>
      <w:r w:rsidDel="00000000" w:rsidR="00000000" w:rsidRPr="00000000">
        <w:rPr>
          <w:rtl w:val="0"/>
        </w:rPr>
        <w:t xml:space="preserve">, как требует курсовая работа.</w:t>
        <w:br w:type="textWrapping"/>
        <w:t xml:space="preserve"> Формат отображения данных уточнён (например, продажи указаны в миллионах), подписи графиков отформатированы для удобства восприятия.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1tjcrkus0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Вывод: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Данный отчет позволяет: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сравнивать платформы по продажам,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оценивать успех жанров и издателей,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анализировать связь между критикой и коммерческим успехом игр,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быстро фильтровать данные по нужным сегментам с помощью интерактивных слайсеров.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mthr1vdsn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Инструкции по запуску скриптов и загрузке данных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воспроизведения системы и отчета необходимо выполнить следующие шаги: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Запустить SQL-скрипт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Oltp_Script.sql</w:t>
      </w:r>
      <w:r w:rsidDel="00000000" w:rsidR="00000000" w:rsidRPr="00000000">
        <w:rPr>
          <w:rtl w:val="0"/>
        </w:rPr>
        <w:t xml:space="preserve"> для создания OLTP-схемы в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Запустить SQL-скрипт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Oltp_load.sql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загрузки данных в таблицы. (Также в скрипте необходимо указать актуальное местоположение csv файлов)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Запустить SQL-скрипт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olap_script.sql </w:t>
      </w:r>
      <w:r w:rsidDel="00000000" w:rsidR="00000000" w:rsidRPr="00000000">
        <w:rPr>
          <w:rtl w:val="0"/>
        </w:rPr>
        <w:t xml:space="preserve">для создания OLAP-схемы в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Запустить SQL-скрипт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etl_script.sql</w:t>
      </w:r>
      <w:r w:rsidDel="00000000" w:rsidR="00000000" w:rsidRPr="00000000">
        <w:rPr>
          <w:rtl w:val="0"/>
        </w:rPr>
        <w:t xml:space="preserve">, который выполнит перенос, очистку и агрегацию данных в OLAP-схему.</w:t>
        <w:br w:type="textWrapping"/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Открыть Power BI Desktop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Подключиться к базе данных PostgreSQL → выбрать OLAP-схему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Построить визуализации (гистограмма, круговая диаграмма, таблица)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слайсеры: </w:t>
      </w:r>
      <w:r w:rsidDel="00000000" w:rsidR="00000000" w:rsidRPr="00000000">
        <w:rPr>
          <w:b w:val="1"/>
          <w:rtl w:val="0"/>
        </w:rPr>
        <w:t xml:space="preserve">Жанр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Регион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