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rticleH2"/>
      </w:pPr>
      <w:r>
        <w:t xml:space="preserve">Episode 139: </w:t>
      </w:r>
      <w:r>
        <w:rPr>
          <w:i/>
        </w:rPr>
        <w:t>The Tatami Galaxy</w:t>
      </w:r>
      <w:r>
        <w:t xml:space="preserve"> Colour Design Notes Volume 0</w:t>
      </w:r>
    </w:p>
    <w:p>
      <w:pPr>
        <w:pStyle w:val="NormalText"/>
      </w:pPr>
    </w:p>
    <w:p>
      <w:pPr>
        <w:pStyle w:val="NormalText"/>
      </w:pPr>
      <w:r>
        <w:t>Last week, for preparation of a certain work, several of us including a certain director went to a remote island in Kyushu. Plane → car → ferry connections for a little over 4 hours. Writing it like this makes it seem relatively close, but this was quite something...</w:t>
      </w:r>
    </w:p>
    <w:p>
      <w:pPr>
        <w:pStyle w:val="NormalText"/>
      </w:pPr>
    </w:p>
    <w:p>
      <w:pPr>
        <w:pStyle w:val="NormalText"/>
      </w:pPr>
      <w:r>
        <w:t>Island life was completely different—eye-opening for us who've lived in Tokyo constantly. Then again, some aspects were much more advanced than Tokyo. Truly "don't underestimate remote islands!" Wonderful!</w:t>
      </w:r>
    </w:p>
    <w:p>
      <w:pPr>
        <w:pStyle w:val="NormalText"/>
      </w:pPr>
    </w:p>
    <w:p>
      <w:pPr>
        <w:pStyle w:val="NormalText"/>
      </w:pPr>
      <w:r>
        <w:t>Still, what I felt most on the island was its quietness. Incredibly quiet. Not a single artificial sound. With so little traffic there's just one signal on the entire island—no car sounds at all. Only bird voices could be heard.</w:t>
      </w:r>
    </w:p>
    <w:p>
      <w:pPr>
        <w:pStyle w:val="NormalText"/>
      </w:pPr>
    </w:p>
    <w:p>
      <w:pPr>
        <w:pStyle w:val="NormalText"/>
      </w:pPr>
      <w:r>
        <w:t>I was made to realise how much noise we live in daily. Crowd sounds we're accustomed to are actually considerable noise too.</w:t>
      </w:r>
    </w:p>
    <w:p>
      <w:pPr>
        <w:pStyle w:val="NormalText"/>
      </w:pPr>
    </w:p>
    <w:p>
      <w:pPr>
        <w:pStyle w:val="NormalText"/>
      </w:pPr>
      <w:r>
        <w:t>Unfortunately this research trip was just one night, but occasionally staying in such places to relax body and mind in quietness would be good.</w:t>
      </w:r>
    </w:p>
    <w:p>
      <w:pPr>
        <w:pStyle w:val="NormalText"/>
      </w:pPr>
      <w:r>
        <w:t>Now then.</w:t>
      </w:r>
    </w:p>
    <w:p>
      <w:pPr>
        <w:pStyle w:val="NormalText"/>
      </w:pPr>
    </w:p>
    <w:p>
      <w:pPr>
        <w:pStyle w:val="NormalText"/>
      </w:pPr>
      <w:r>
        <w:t>Everyone, thank you for waiting! (←though whether that's true is unclear w) "</w:t>
      </w:r>
      <w:r>
        <w:rPr>
          <w:i/>
        </w:rPr>
        <w:t>The Tatami Galaxy</w:t>
      </w:r>
      <w:r>
        <w:t xml:space="preserve"> Colour Design Notes." DVD &amp; Blu-ray Volume 3 will be released at month's end too. So about time to do this? Starting with that feeling!</w:t>
      </w:r>
    </w:p>
    <w:p>
      <w:pPr>
        <w:pStyle w:val="NormalText"/>
      </w:pPr>
    </w:p>
    <w:p>
      <w:pPr>
        <w:pStyle w:val="NormalText"/>
      </w:pPr>
      <w:r>
        <w:t xml:space="preserve">I discussed </w:t>
      </w:r>
      <w:r>
        <w:rPr>
          <w:i/>
        </w:rPr>
        <w:t>The Tatami Galaxy</w:t>
      </w:r>
      <w:r>
        <w:t xml:space="preserve"> colours once in early summer (Episode 124: Early Summer Special Edition - </w:t>
      </w:r>
      <w:r>
        <w:rPr>
          <w:i/>
        </w:rPr>
        <w:t>The Tatami Galaxy</w:t>
      </w:r>
      <w:r>
        <w:t xml:space="preserve"> Notes for Colour Direction Staff), so see that for overall general discussion. This time I'll start with "individual episode notes."</w:t>
      </w:r>
    </w:p>
    <w:p>
      <w:pPr>
        <w:pStyle w:val="NormalText"/>
      </w:pPr>
    </w:p>
    <w:p>
      <w:pPr>
        <w:pStyle w:val="NormalText"/>
      </w:pPr>
      <w:r>
        <w:t>This time's individual episode "colour" work flow involved "art board meetings" once storyboards came up. Director, individual episode directors, art director, and colour designer (me) would gather to hear each scene's imagery from director and episode directors, exchanging opinions while solidifying atmosphere. There we'd decide which cut layouts to prioritise for drawing actual backgrounds for art boards (so-called "actual boards"). Based on those layouts, the art director would begin art board work.</w:t>
      </w:r>
    </w:p>
    <w:p>
      <w:pPr>
        <w:pStyle w:val="NormalText"/>
      </w:pPr>
    </w:p>
    <w:p>
      <w:pPr>
        <w:pStyle w:val="NormalText"/>
      </w:pPr>
      <w:r>
        <w:t>Completed art boards were checked by director and episode directors. Art direction was mostly solidified there. Next, based on those boards, art meetings included assigned art staff and colour direction staff. Detailed scene flow and imagery meetings here.</w:t>
      </w:r>
    </w:p>
    <w:p>
      <w:pPr>
        <w:pStyle w:val="NormalText"/>
      </w:pPr>
    </w:p>
    <w:p>
      <w:pPr>
        <w:pStyle w:val="NormalText"/>
      </w:pPr>
      <w:r>
        <w:t>Receiving that meeting, I'd enter each scene's colour design. Placing characters appearing in scenes on art boards, fiddling around while building basic colour design for each scene. Then director and episode director checks when completed.</w:t>
      </w:r>
    </w:p>
    <w:p>
      <w:pPr>
        <w:pStyle w:val="NormalText"/>
      </w:pPr>
    </w:p>
    <w:p>
      <w:pPr>
        <w:pStyle w:val="NormalText"/>
      </w:pPr>
      <w:r>
        <w:t>Meanwhile in parallel, I'd write that episode's "colour chart." Though called a chart, it was memos hastily written in pencil on storyboard backs, but this was quite important. Based on this "colour chart" and OK'd "scene design" psd data, separate meetings with colour direction staff.</w:t>
      </w:r>
    </w:p>
    <w:p>
      <w:pPr>
        <w:pStyle w:val="NormalText"/>
      </w:pPr>
    </w:p>
    <w:p>
      <w:pPr>
        <w:pStyle w:val="NormalText"/>
      </w:pPr>
      <w:r>
        <w:t>Since colour direction staff attended art meetings too, they properly understood content including directorial points. There I'd explain three-dimensionally with "actual visuals will be like this."</w:t>
      </w:r>
    </w:p>
    <w:p>
      <w:pPr>
        <w:pStyle w:val="NormalText"/>
      </w:pPr>
    </w:p>
    <w:p>
      <w:pPr>
        <w:pStyle w:val="NormalText"/>
      </w:pPr>
      <w:r>
        <w:t>Animation artwork is living, so even with detailed meetings like this, actual animation cuts that came up often had different tastes, so we'd also decide approaches for colour direction staff to consider colours responding to those, plus arrangements for circulating cut data I wanted to check.</w:t>
      </w:r>
    </w:p>
    <w:p>
      <w:pPr>
        <w:pStyle w:val="NormalText"/>
      </w:pPr>
    </w:p>
    <w:p>
      <w:pPr>
        <w:pStyle w:val="NormalText"/>
      </w:pPr>
      <w:r>
        <w:t>Plus on-site "naming" meetings for colour direction data for each scene.</w:t>
      </w:r>
    </w:p>
    <w:p>
      <w:pPr>
        <w:pStyle w:val="NormalText"/>
      </w:pPr>
    </w:p>
    <w:p>
      <w:pPr>
        <w:pStyle w:val="NormalText"/>
      </w:pPr>
      <w:r>
        <w:t>Basic colour direction for each scene decided by placing characters on art boards got individual names. For example, in Episode 1: colour direction for "I" and Akashi-san's evening flashback scene was "Evening Colour A," scene colour direction in Gozan night crowds on Kamo Bridge was "Gozan Colour," red scene colour direction where fortune-teller granny is always encountered in Kiyamachi was "Kiyamachi Colour." Those names get reflected in painting data like "EVA011_Akashi&amp;Watashi_kaisou.tga."</w:t>
      </w:r>
    </w:p>
    <w:p>
      <w:pPr>
        <w:pStyle w:val="NormalText"/>
      </w:pPr>
    </w:p>
    <w:p>
      <w:pPr>
        <w:pStyle w:val="NormalText"/>
      </w:pPr>
      <w:r>
        <w:t>Deciding this makes colour direction input work convenient. Though actually, having colour direction staff further process painted completions wasn't uncommon.</w:t>
      </w:r>
    </w:p>
    <w:p>
      <w:pPr>
        <w:pStyle w:val="NormalText"/>
      </w:pPr>
    </w:p>
    <w:p>
      <w:pPr>
        <w:pStyle w:val="NormalText"/>
      </w:pPr>
      <w:r>
        <w:t>Well, generally proceeding with decisions and meetings in such flow each time.</w:t>
      </w:r>
    </w:p>
    <w:p>
      <w:pPr>
        <w:pStyle w:val="NormalText"/>
      </w:pPr>
    </w:p>
    <w:p>
      <w:pPr>
        <w:pStyle w:val="NormalText"/>
      </w:pPr>
      <w:r>
        <w:t>Since the introduction got long, that's all for this time. Next time diving into individual episode notes.</w:t>
      </w:r>
    </w:p>
    <w:p>
      <w:pPr>
        <w:pStyle w:val="NormalText"/>
      </w:pPr>
    </w:p>
    <w:p>
      <w:pPr>
        <w:pStyle w:val="ProfileText"/>
      </w:pPr>
      <w:r>
        <w:t>(10.10.05)</w:t>
      </w:r>
    </w:p>
    <w:p>
      <w:pPr>
        <w:pStyle w:val="NormalText"/>
      </w:pPr>
    </w:p>
    <w:sectPr w:rsidR="00FC693F" w:rsidRPr="0006063C" w:rsidSect="00034616">
      <w:pgSz w:w="12240" w:h="15840"/>
      <w:pgMar w:top="1152" w:right="1152" w:bottom="144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60" w:line="192" w:lineRule="auto"/>
    </w:pPr>
    <w:rPr>
      <w:rFonts w:ascii="Amiri" w:hAnsi="Amiri"/>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verTitle">
    <w:name w:val="CoverTitle"/>
    <w:pPr>
      <w:spacing w:after="400" w:before="600"/>
      <w:jc w:val="center"/>
    </w:pPr>
    <w:rPr>
      <w:rFonts w:ascii="BPG Serif GPL&amp;GNU" w:hAnsi="BPG Serif GPL&amp;GNU"/>
      <w:b/>
      <w:color w:val="333366"/>
      <w:sz w:val="56"/>
    </w:rPr>
  </w:style>
  <w:style w:type="paragraph" w:customStyle="1" w:styleId="CoverSubtitle">
    <w:name w:val="CoverSubtitle"/>
    <w:pPr>
      <w:spacing w:after="300" w:before="0"/>
      <w:jc w:val="center"/>
    </w:pPr>
    <w:rPr>
      <w:rFonts w:ascii="Amiri" w:hAnsi="Amiri"/>
      <w:color w:val="663333"/>
      <w:sz w:val="36"/>
    </w:rPr>
  </w:style>
  <w:style w:type="paragraph" w:customStyle="1" w:styleId="ArticleH1">
    <w:name w:val="ArticleH1"/>
    <w:pPr>
      <w:spacing w:after="20" w:before="0"/>
    </w:pPr>
    <w:rPr>
      <w:rFonts w:ascii="BPG Serif GPL&amp;GNU" w:hAnsi="BPG Serif GPL&amp;GNU"/>
      <w:b/>
      <w:color w:val="333366"/>
      <w:sz w:val="40"/>
    </w:rPr>
  </w:style>
  <w:style w:type="paragraph" w:customStyle="1" w:styleId="ArticleH2">
    <w:name w:val="ArticleH2"/>
    <w:pPr>
      <w:spacing w:after="20" w:before="0"/>
    </w:pPr>
    <w:rPr>
      <w:rFonts w:ascii="BPG Gorda GPL&amp;GNU" w:hAnsi="BPG Gorda GPL&amp;GNU"/>
      <w:b/>
      <w:color w:val="663333"/>
      <w:sz w:val="32"/>
    </w:rPr>
  </w:style>
  <w:style w:type="paragraph" w:customStyle="1" w:styleId="ArticleH3">
    <w:name w:val="ArticleH3"/>
    <w:pPr>
      <w:spacing w:after="20" w:before="0"/>
    </w:pPr>
    <w:rPr>
      <w:rFonts w:ascii="BPG Gorda GPL&amp;GNU" w:hAnsi="BPG Gorda GPL&amp;GNU"/>
      <w:b/>
      <w:color w:val="4D4D4D"/>
      <w:sz w:val="30"/>
    </w:rPr>
  </w:style>
  <w:style w:type="paragraph" w:customStyle="1" w:styleId="ArticleH4">
    <w:name w:val="ArticleH4"/>
    <w:pPr>
      <w:spacing w:after="20" w:before="0"/>
    </w:pPr>
    <w:rPr>
      <w:rFonts w:ascii="BPG Gorda GPL&amp;GNU" w:hAnsi="BPG Gorda GPL&amp;GNU"/>
      <w:b/>
      <w:color w:val="4D4D4D"/>
      <w:sz w:val="28"/>
    </w:rPr>
  </w:style>
  <w:style w:type="paragraph" w:customStyle="1" w:styleId="ArticleH5">
    <w:name w:val="ArticleH5"/>
    <w:pPr>
      <w:spacing w:after="20" w:before="0"/>
    </w:pPr>
    <w:rPr>
      <w:rFonts w:ascii="Amiri" w:hAnsi="Amiri"/>
      <w:b/>
      <w:color w:val="4D4D4D"/>
      <w:sz w:val="26"/>
    </w:rPr>
  </w:style>
  <w:style w:type="paragraph" w:customStyle="1" w:styleId="ArticleH6">
    <w:name w:val="ArticleH6"/>
    <w:pPr>
      <w:spacing w:after="20" w:before="0"/>
    </w:pPr>
    <w:rPr>
      <w:rFonts w:ascii="Amiri" w:hAnsi="Amiri"/>
      <w:b/>
      <w:color w:val="4D4D4D"/>
      <w:sz w:val="24"/>
    </w:rPr>
  </w:style>
  <w:style w:type="paragraph" w:customStyle="1" w:styleId="NormalText">
    <w:name w:val="NormalText"/>
    <w:pPr>
      <w:spacing w:after="0" w:before="60" w:line="192" w:lineRule="auto"/>
      <w:jc w:val="both"/>
    </w:pPr>
    <w:rPr>
      <w:rFonts w:ascii="Amiri" w:hAnsi="Amiri"/>
      <w:color w:val="1A1A1A"/>
      <w:sz w:val="28"/>
    </w:rPr>
  </w:style>
  <w:style w:type="paragraph" w:customStyle="1" w:styleId="BlockQuote">
    <w:name w:val="BlockQuote"/>
    <w:pPr>
      <w:spacing w:after="20" w:before="20" w:line="288" w:lineRule="auto"/>
      <w:ind w:left="600" w:right="600"/>
      <w:jc w:val="both"/>
    </w:pPr>
    <w:rPr>
      <w:rFonts w:ascii="Amiri" w:hAnsi="Amiri"/>
      <w:i/>
      <w:color w:val="4D4D4D"/>
      <w:sz w:val="24"/>
    </w:rPr>
  </w:style>
  <w:style w:type="paragraph" w:customStyle="1" w:styleId="CodeBlock">
    <w:name w:val="CodeBlock"/>
    <w:pPr>
      <w:spacing w:after="20" w:before="20" w:line="240" w:lineRule="auto"/>
      <w:ind w:left="400" w:right="400"/>
      <w:jc w:val="left"/>
    </w:pPr>
    <w:rPr>
      <w:rFonts w:ascii="Courier New" w:hAnsi="Courier New"/>
      <w:color w:val="323232"/>
      <w:sz w:val="20"/>
    </w:rPr>
  </w:style>
  <w:style w:type="paragraph" w:customStyle="1" w:styleId="TOCEntry">
    <w:name w:val="TOCEntry"/>
    <w:pPr>
      <w:spacing w:after="160" w:before="60" w:line="240" w:lineRule="auto"/>
      <w:ind w:left="400"/>
    </w:pPr>
    <w:rPr>
      <w:rFonts w:ascii="Amiri" w:hAnsi="Amiri"/>
      <w:color w:val="1A1A1A"/>
      <w:sz w:val="24"/>
    </w:rPr>
  </w:style>
  <w:style w:type="paragraph" w:customStyle="1" w:styleId="ProfileText">
    <w:name w:val="ProfileText"/>
    <w:pPr>
      <w:spacing w:after="160" w:before="300"/>
      <w:jc w:val="both"/>
    </w:pPr>
    <w:rPr>
      <w:rFonts w:ascii="Amiri" w:hAnsi="Amiri"/>
      <w:color w:val="4D4D4D"/>
      <w:sz w:val="20"/>
    </w:rPr>
  </w:style>
  <w:style w:type="paragraph" w:customStyle="1" w:styleId="BlankPage">
    <w:name w:val="BlankPage"/>
    <w:pPr>
      <w:spacing w:after="0" w:before="0"/>
      <w:jc w:val="center"/>
    </w:pPr>
    <w:rPr>
      <w:rFonts w:ascii="Amiri" w:hAnsi="Amiri"/>
      <w:color w:val="B4B4B4"/>
      <w:sz w:val="18"/>
    </w:rPr>
  </w:style>
  <w:style w:type="character" w:customStyle="1" w:styleId="JapaneseText">
    <w:name w:val="JapaneseText"/>
    <w:rPr>
      <w:rFonts w:ascii="Noto Sans CJK JP" w:hAnsi="Noto Sans CJK JP"/>
      <w:color w:val="000000"/>
    </w:rPr>
  </w:style>
  <w:style w:type="character" w:customStyle="1" w:styleId="InlineCode">
    <w:name w:val="InlineCode"/>
    <w:rPr>
      <w:rFonts w:ascii="Courier New" w:hAnsi="Courier New"/>
      <w:color w:val="323232"/>
      <w:sz w:val="20"/>
    </w:rPr>
  </w:style>
  <w:style w:type="paragraph" w:customStyle="1" w:styleId="ListItem">
    <w:name w:val="ListItem"/>
    <w:pPr>
      <w:spacing w:after="20" w:before="20" w:line="192" w:lineRule="auto"/>
      <w:ind w:left="400"/>
      <w:jc w:val="both"/>
    </w:pPr>
    <w:rPr>
      <w:rFonts w:ascii="Amiri" w:hAnsi="Amiri"/>
      <w:color w:val="1A1A1A"/>
      <w:sz w:val="28"/>
    </w:rPr>
  </w:style>
  <w:style w:type="paragraph" w:customStyle="1" w:styleId="HorizontalRule">
    <w:name w:val="HorizontalRule"/>
    <w:pPr>
      <w:spacing w:after="200" w:before="200"/>
      <w:jc w:val="center"/>
    </w:pPr>
    <w:rPr>
      <w:rFonts w:ascii="Amiri" w:hAnsi="Amiri"/>
      <w:color w:val="4D4D4D"/>
      <w:sz w:val="2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