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H2"/>
      </w:pPr>
      <w:r>
        <w:t>Episode 165: Side Story: About Names</w:t>
      </w:r>
    </w:p>
    <w:p>
      <w:pPr>
        <w:pStyle w:val="NormalText"/>
      </w:pPr>
    </w:p>
    <w:p>
      <w:pPr>
        <w:pStyle w:val="NormalText"/>
      </w:pPr>
      <w:r>
        <w:t>My goodness. Sorry for taking such a long break from publication.</w:t>
      </w:r>
    </w:p>
    <w:p>
      <w:pPr>
        <w:pStyle w:val="NormalText"/>
      </w:pPr>
    </w:p>
    <w:p>
      <w:pPr>
        <w:pStyle w:val="NormalText"/>
      </w:pPr>
      <w:r>
        <w:t xml:space="preserve">Currently participating in a new programmes starting broadcast in July. First TV series in almost a year since </w:t>
      </w:r>
      <w:r>
        <w:rPr>
          <w:i/>
        </w:rPr>
        <w:t>The Tatami Galaxy</w:t>
      </w:r>
      <w:r>
        <w:t>. Just over a month until broadcast. Entering the climax of programmes startup - quite difficult in various ways. With all this, I couldn't move freely and kept missing manuscript deadlines. Everyone, I'm sorry.</w:t>
      </w:r>
    </w:p>
    <w:p>
      <w:pPr>
        <w:pStyle w:val="NormalText"/>
      </w:pPr>
    </w:p>
    <w:p>
      <w:pPr>
        <w:pStyle w:val="NormalText"/>
      </w:pPr>
      <w:r>
        <w:t>Now, this new TV series - I'm handling Episode 1 colour direction as usual, but I'm scheduled to participate in colour direction for quite a number of episodes this series. This 2-cour, planned 24-episode series - this is my focus this year. Please look forward to it.</w:t>
      </w:r>
    </w:p>
    <w:p>
      <w:pPr>
        <w:pStyle w:val="NormalText"/>
      </w:pPr>
    </w:p>
    <w:p>
      <w:pPr>
        <w:pStyle w:val="NormalText"/>
      </w:pPr>
      <w:r>
        <w:t>Eh? The title? Official staff announcements haven't been made yet... (sweat). The workplace is dizzyingly busy, but working with this director for the first time in quite a while is quite enjoyable with continuous surprises and laughter.</w:t>
      </w:r>
    </w:p>
    <w:p>
      <w:pPr>
        <w:pStyle w:val="NormalText"/>
      </w:pPr>
    </w:p>
    <w:p>
      <w:pPr>
        <w:pStyle w:val="NormalText"/>
      </w:pPr>
      <w:r>
        <w:t>...So, I've returned after 3 weeks?</w:t>
      </w:r>
    </w:p>
    <w:p>
      <w:pPr>
        <w:pStyle w:val="NormalText"/>
      </w:pPr>
      <w:r>
        <w:t>Anyway.</w:t>
      </w:r>
    </w:p>
    <w:p>
      <w:pPr>
        <w:pStyle w:val="NormalText"/>
      </w:pPr>
    </w:p>
    <w:p>
      <w:pPr>
        <w:pStyle w:val="NormalText"/>
      </w:pPr>
      <w:r>
        <w:t>The Anime Style talk event "Yamauchi Shigeyasu's World Part 1" was recently held with great success. I also appeared as someone who knows Director Yamauchi, talking about old stories (already a quarter century ago (laugh)) and various things.</w:t>
      </w:r>
    </w:p>
    <w:p>
      <w:pPr>
        <w:pStyle w:val="NormalText"/>
      </w:pPr>
    </w:p>
    <w:p>
      <w:pPr>
        <w:pStyle w:val="NormalText"/>
      </w:pPr>
      <w:r>
        <w:t>Well, I didn't talk about this at the event, but about Director Yamauchi's and my names.</w:t>
      </w:r>
    </w:p>
    <w:p>
      <w:pPr>
        <w:pStyle w:val="NormalText"/>
      </w:pPr>
    </w:p>
    <w:p>
      <w:pPr>
        <w:pStyle w:val="NormalText"/>
      </w:pPr>
      <w:r>
        <w:t xml:space="preserve">Many of you probably know, but I actually worked under names other than my real name. The credit "Kokuon Kunio" - some of you have probably seen it somewhere. Starting with </w:t>
      </w:r>
      <w:r>
        <w:rPr>
          <w:i/>
        </w:rPr>
        <w:t>Revolutionary Girl Utena</w:t>
      </w:r>
      <w:r>
        <w:t xml:space="preserve">, through </w:t>
      </w:r>
      <w:r>
        <w:rPr>
          <w:i/>
        </w:rPr>
        <w:t>Strange Dawn</w:t>
      </w:r>
      <w:r>
        <w:t xml:space="preserve">, </w:t>
      </w:r>
      <w:r>
        <w:rPr>
          <w:i/>
        </w:rPr>
        <w:t>Kaleido Star</w:t>
      </w:r>
      <w:r>
        <w:t xml:space="preserve">, theatrical </w:t>
      </w:r>
      <w:r>
        <w:rPr>
          <w:i/>
        </w:rPr>
        <w:t>Fist of the North Star</w:t>
      </w:r>
      <w:r>
        <w:t xml:space="preserve"> trilogy, etc.</w:t>
      </w:r>
    </w:p>
    <w:p>
      <w:pPr>
        <w:pStyle w:val="NormalText"/>
      </w:pPr>
    </w:p>
    <w:p>
      <w:pPr>
        <w:pStyle w:val="NormalText"/>
      </w:pPr>
      <w:r>
        <w:t>Well, since the statute of limitations has passed (has it?), I'll talk about it - these works were so-called "other company work" during my time at Toei. So they were credited with concealed characters, or pen names, or false names, aliases. That was Kokuon Kunio.</w:t>
      </w:r>
    </w:p>
    <w:p>
      <w:pPr>
        <w:pStyle w:val="NormalText"/>
      </w:pPr>
    </w:p>
    <w:p>
      <w:pPr>
        <w:pStyle w:val="NormalText"/>
      </w:pPr>
      <w:r>
        <w:t>Working on other company productions while doing Toei Animation work, but being involved with productions meant not being half-hearted, not causing trouble for other staff - I resolved this and approached productions with the stance of giving 100% to Toei work and equally 100% to other company productions. However, it couldn't be like Toei work where I'd handle everything (colour design &amp; colour direction inspection), so participation was like character colour design only, or colour design only - such forms of full participation.</w:t>
      </w:r>
    </w:p>
    <w:p>
      <w:pPr>
        <w:pStyle w:val="NormalText"/>
      </w:pPr>
    </w:p>
    <w:p>
      <w:pPr>
        <w:pStyle w:val="NormalText"/>
      </w:pPr>
      <w:r>
        <w:t>Those in the industry understand well that Toei Animation and other productions have greatly different production methods and workplace systems. Toei is somewhat of a black box. Since almost all parts are made with basically in-house staff (including TAP), Toei's style has formed in production. That has good aspects, but I was interested in other productions' styles, and there were many good aspects not found at Toei. So I wanted to experience that and make it mine, and reflect that experience even slightly into Toei's system. With such personal convictions, I participated whenever asked.</w:t>
      </w:r>
    </w:p>
    <w:p>
      <w:pPr>
        <w:pStyle w:val="NormalText"/>
      </w:pPr>
    </w:p>
    <w:p>
      <w:pPr>
        <w:pStyle w:val="NormalText"/>
      </w:pPr>
      <w:r>
        <w:t xml:space="preserve">Initially when first using this name for </w:t>
      </w:r>
      <w:r>
        <w:rPr>
          <w:i/>
        </w:rPr>
        <w:t>Utena</w:t>
      </w:r>
      <w:r>
        <w:t xml:space="preserve">, I hadn't thought much about the future, but thankfully I received various work offers afterward. Among those, from around participating in </w:t>
      </w:r>
      <w:r>
        <w:rPr>
          <w:i/>
        </w:rPr>
        <w:t>Kaleido Star</w:t>
      </w:r>
      <w:r>
        <w:t>, I began thinking "ah, I'd like to make this 'Kokuon Kunio' into a brand." "Tsujita Kunio" at Toei, and "Kokuon Kunio" elsewhere. Having encountered works with different tastes from Toei works, I arbitrarily thought "I'd like to develop this into a brand."</w:t>
      </w:r>
    </w:p>
    <w:p>
      <w:pPr>
        <w:pStyle w:val="NormalText"/>
      </w:pPr>
    </w:p>
    <w:p>
      <w:pPr>
        <w:pStyle w:val="NormalText"/>
      </w:pPr>
      <w:r>
        <w:t xml:space="preserve">And then </w:t>
      </w:r>
      <w:r>
        <w:rPr>
          <w:i/>
        </w:rPr>
        <w:t>Casshern Sins</w:t>
      </w:r>
      <w:r>
        <w:t>. This work was also initially discussed with the production producer as Kokuon Kunio credit, but when the opening was finally completed and credit discussions began, Director Yamauchi said this:</w:t>
      </w:r>
    </w:p>
    <w:p>
      <w:pPr>
        <w:pStyle w:val="NormalText"/>
      </w:pPr>
    </w:p>
    <w:p>
      <w:pPr>
        <w:pStyle w:val="NormalText"/>
      </w:pPr>
      <w:r>
        <w:t>"When putting names in the opening, if it's not a real name, it seems not serious and is disrespectful to all other staff."</w:t>
      </w:r>
    </w:p>
    <w:p>
      <w:pPr>
        <w:pStyle w:val="NormalText"/>
      </w:pPr>
    </w:p>
    <w:p>
      <w:pPr>
        <w:pStyle w:val="NormalText"/>
      </w:pPr>
      <w:r>
        <w:t>This single statement was tremendously shocking to me. Director Yamauchi always sharply strikes the essence of matters directly with few words like this. I thought I was working on productions with sincerity and full effort, working hard without causing much trouble, but people seeing this credit might not think so... Honestly, I hadn't considered such things at all.</w:t>
      </w:r>
    </w:p>
    <w:p>
      <w:pPr>
        <w:pStyle w:val="NormalText"/>
      </w:pPr>
    </w:p>
    <w:p>
      <w:pPr>
        <w:pStyle w:val="NormalText"/>
      </w:pPr>
      <w:r>
        <w:t>Having names credited in productions means, for better or worse, "I'm responsible for this part." Moreover, when it's opening credits, this becomes a responsibility issue for the entire production. Not crediting with real names there certainly could seem like escaping that responsibility.</w:t>
      </w:r>
    </w:p>
    <w:p>
      <w:pPr>
        <w:pStyle w:val="NormalText"/>
      </w:pPr>
    </w:p>
    <w:p>
      <w:pPr>
        <w:pStyle w:val="NormalText"/>
      </w:pPr>
      <w:r>
        <w:t xml:space="preserve">For </w:t>
      </w:r>
      <w:r>
        <w:rPr>
          <w:i/>
        </w:rPr>
        <w:t>Casshern Sins</w:t>
      </w:r>
      <w:r>
        <w:t>, I decided to be credited with my real name. And simultaneously, I decided to work with only my own name going forward and quit Toei Animation, where I'd been long cared for, to become freelance.</w:t>
      </w:r>
    </w:p>
    <w:p>
      <w:pPr>
        <w:pStyle w:val="NormalText"/>
      </w:pPr>
    </w:p>
    <w:p>
      <w:pPr>
        <w:pStyle w:val="NormalText"/>
      </w:pPr>
      <w:r>
        <w:t>It's been three years now, but I think that decision was correct. Being able to continue without wavering like this is thanks to what Yamauchi-san said that time - I'm grateful. Works marking turning points for me are always Director Yamauchi's works.</w:t>
      </w:r>
    </w:p>
    <w:p>
      <w:pPr>
        <w:pStyle w:val="NormalText"/>
      </w:pPr>
    </w:p>
    <w:p>
      <w:pPr>
        <w:pStyle w:val="ProfileText"/>
      </w:pPr>
      <w:r>
        <w:t>(11.05.31)</w:t>
      </w:r>
    </w:p>
    <w:p>
      <w:pPr>
        <w:pStyle w:val="NormalText"/>
      </w:pPr>
    </w:p>
    <w:sectPr w:rsidR="00FC693F" w:rsidRPr="0006063C" w:rsidSect="00034616">
      <w:pgSz w:w="12240" w:h="15840"/>
      <w:pgMar w:top="1152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60" w:line="192" w:lineRule="auto"/>
    </w:pPr>
    <w:rPr>
      <w:rFonts w:ascii="Amiri" w:hAnsi="Ami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pPr>
      <w:spacing w:after="400" w:before="600"/>
      <w:jc w:val="center"/>
    </w:pPr>
    <w:rPr>
      <w:rFonts w:ascii="BPG Serif GPL&amp;GNU" w:hAnsi="BPG Serif GPL&amp;GNU"/>
      <w:b/>
      <w:color w:val="333366"/>
      <w:sz w:val="56"/>
    </w:rPr>
  </w:style>
  <w:style w:type="paragraph" w:customStyle="1" w:styleId="CoverSubtitle">
    <w:name w:val="CoverSubtitle"/>
    <w:pPr>
      <w:spacing w:after="300" w:before="0"/>
      <w:jc w:val="center"/>
    </w:pPr>
    <w:rPr>
      <w:rFonts w:ascii="Amiri" w:hAnsi="Amiri"/>
      <w:color w:val="663333"/>
      <w:sz w:val="36"/>
    </w:rPr>
  </w:style>
  <w:style w:type="paragraph" w:customStyle="1" w:styleId="ArticleH1">
    <w:name w:val="ArticleH1"/>
    <w:pPr>
      <w:spacing w:after="20" w:before="0"/>
    </w:pPr>
    <w:rPr>
      <w:rFonts w:ascii="BPG Serif GPL&amp;GNU" w:hAnsi="BPG Serif GPL&amp;GNU"/>
      <w:b/>
      <w:color w:val="333366"/>
      <w:sz w:val="40"/>
    </w:rPr>
  </w:style>
  <w:style w:type="paragraph" w:customStyle="1" w:styleId="ArticleH2">
    <w:name w:val="ArticleH2"/>
    <w:pPr>
      <w:spacing w:after="20" w:before="0"/>
    </w:pPr>
    <w:rPr>
      <w:rFonts w:ascii="BPG Gorda GPL&amp;GNU" w:hAnsi="BPG Gorda GPL&amp;GNU"/>
      <w:b/>
      <w:color w:val="663333"/>
      <w:sz w:val="32"/>
    </w:rPr>
  </w:style>
  <w:style w:type="paragraph" w:customStyle="1" w:styleId="ArticleH3">
    <w:name w:val="ArticleH3"/>
    <w:pPr>
      <w:spacing w:after="20" w:before="0"/>
    </w:pPr>
    <w:rPr>
      <w:rFonts w:ascii="BPG Gorda GPL&amp;GNU" w:hAnsi="BPG Gorda GPL&amp;GNU"/>
      <w:b/>
      <w:color w:val="4D4D4D"/>
      <w:sz w:val="30"/>
    </w:rPr>
  </w:style>
  <w:style w:type="paragraph" w:customStyle="1" w:styleId="ArticleH4">
    <w:name w:val="ArticleH4"/>
    <w:pPr>
      <w:spacing w:after="20" w:before="0"/>
    </w:pPr>
    <w:rPr>
      <w:rFonts w:ascii="BPG Gorda GPL&amp;GNU" w:hAnsi="BPG Gorda GPL&amp;GNU"/>
      <w:b/>
      <w:color w:val="4D4D4D"/>
      <w:sz w:val="28"/>
    </w:rPr>
  </w:style>
  <w:style w:type="paragraph" w:customStyle="1" w:styleId="ArticleH5">
    <w:name w:val="ArticleH5"/>
    <w:pPr>
      <w:spacing w:after="20" w:before="0"/>
    </w:pPr>
    <w:rPr>
      <w:rFonts w:ascii="Amiri" w:hAnsi="Amiri"/>
      <w:b/>
      <w:color w:val="4D4D4D"/>
      <w:sz w:val="26"/>
    </w:rPr>
  </w:style>
  <w:style w:type="paragraph" w:customStyle="1" w:styleId="ArticleH6">
    <w:name w:val="ArticleH6"/>
    <w:pPr>
      <w:spacing w:after="20" w:before="0"/>
    </w:pPr>
    <w:rPr>
      <w:rFonts w:ascii="Amiri" w:hAnsi="Amiri"/>
      <w:b/>
      <w:color w:val="4D4D4D"/>
      <w:sz w:val="24"/>
    </w:rPr>
  </w:style>
  <w:style w:type="paragraph" w:customStyle="1" w:styleId="NormalText">
    <w:name w:val="NormalText"/>
    <w:pPr>
      <w:spacing w:after="0" w:before="60" w:line="192" w:lineRule="auto"/>
      <w:jc w:val="both"/>
    </w:pPr>
    <w:rPr>
      <w:rFonts w:ascii="Amiri" w:hAnsi="Amiri"/>
      <w:color w:val="1A1A1A"/>
      <w:sz w:val="28"/>
    </w:rPr>
  </w:style>
  <w:style w:type="paragraph" w:customStyle="1" w:styleId="BlockQuote">
    <w:name w:val="BlockQuote"/>
    <w:pPr>
      <w:spacing w:after="20" w:before="20" w:line="288" w:lineRule="auto"/>
      <w:ind w:left="600" w:right="600"/>
      <w:jc w:val="both"/>
    </w:pPr>
    <w:rPr>
      <w:rFonts w:ascii="Amiri" w:hAnsi="Amiri"/>
      <w:i/>
      <w:color w:val="4D4D4D"/>
      <w:sz w:val="24"/>
    </w:rPr>
  </w:style>
  <w:style w:type="paragraph" w:customStyle="1" w:styleId="CodeBlock">
    <w:name w:val="CodeBlock"/>
    <w:pPr>
      <w:spacing w:after="20" w:before="20" w:line="240" w:lineRule="auto"/>
      <w:ind w:left="400" w:right="400"/>
      <w:jc w:val="left"/>
    </w:pPr>
    <w:rPr>
      <w:rFonts w:ascii="Courier New" w:hAnsi="Courier New"/>
      <w:color w:val="323232"/>
      <w:sz w:val="20"/>
    </w:rPr>
  </w:style>
  <w:style w:type="paragraph" w:customStyle="1" w:styleId="TOCEntry">
    <w:name w:val="TOCEntry"/>
    <w:pPr>
      <w:spacing w:after="160" w:before="60" w:line="240" w:lineRule="auto"/>
      <w:ind w:left="400"/>
    </w:pPr>
    <w:rPr>
      <w:rFonts w:ascii="Amiri" w:hAnsi="Amiri"/>
      <w:color w:val="1A1A1A"/>
      <w:sz w:val="24"/>
    </w:rPr>
  </w:style>
  <w:style w:type="paragraph" w:customStyle="1" w:styleId="ProfileText">
    <w:name w:val="ProfileText"/>
    <w:pPr>
      <w:spacing w:after="160" w:before="300"/>
      <w:jc w:val="both"/>
    </w:pPr>
    <w:rPr>
      <w:rFonts w:ascii="Amiri" w:hAnsi="Amiri"/>
      <w:color w:val="4D4D4D"/>
      <w:sz w:val="20"/>
    </w:rPr>
  </w:style>
  <w:style w:type="paragraph" w:customStyle="1" w:styleId="BlankPage">
    <w:name w:val="BlankPage"/>
    <w:pPr>
      <w:spacing w:after="0" w:before="0"/>
      <w:jc w:val="center"/>
    </w:pPr>
    <w:rPr>
      <w:rFonts w:ascii="Amiri" w:hAnsi="Amiri"/>
      <w:color w:val="B4B4B4"/>
      <w:sz w:val="18"/>
    </w:rPr>
  </w:style>
  <w:style w:type="character" w:customStyle="1" w:styleId="JapaneseText">
    <w:name w:val="JapaneseText"/>
    <w:rPr>
      <w:rFonts w:ascii="Noto Sans CJK JP" w:hAnsi="Noto Sans CJK JP"/>
      <w:color w:val="000000"/>
    </w:rPr>
  </w:style>
  <w:style w:type="character" w:customStyle="1" w:styleId="InlineCode">
    <w:name w:val="InlineCode"/>
    <w:rPr>
      <w:rFonts w:ascii="Courier New" w:hAnsi="Courier New"/>
      <w:color w:val="323232"/>
      <w:sz w:val="20"/>
    </w:rPr>
  </w:style>
  <w:style w:type="paragraph" w:customStyle="1" w:styleId="ListItem">
    <w:name w:val="ListItem"/>
    <w:pPr>
      <w:spacing w:after="20" w:before="20" w:line="192" w:lineRule="auto"/>
      <w:ind w:left="400"/>
      <w:jc w:val="both"/>
    </w:pPr>
    <w:rPr>
      <w:rFonts w:ascii="Amiri" w:hAnsi="Amiri"/>
      <w:color w:val="1A1A1A"/>
      <w:sz w:val="28"/>
    </w:rPr>
  </w:style>
  <w:style w:type="paragraph" w:customStyle="1" w:styleId="HorizontalRule">
    <w:name w:val="HorizontalRule"/>
    <w:pPr>
      <w:spacing w:after="200" w:before="200"/>
      <w:jc w:val="center"/>
    </w:pPr>
    <w:rPr>
      <w:rFonts w:ascii="Amiri" w:hAnsi="Amiri"/>
      <w:color w:val="4D4D4D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