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6C728" w14:textId="76110EB7" w:rsidR="00DA5FD5" w:rsidRPr="00DA5FD5" w:rsidRDefault="00914323" w:rsidP="007B7139">
      <w:pPr>
        <w:rPr>
          <w:b/>
          <w:bCs/>
        </w:rPr>
      </w:pPr>
      <w:r>
        <w:rPr>
          <w:b/>
          <w:bCs/>
        </w:rPr>
        <w:t>ML</w:t>
      </w:r>
    </w:p>
    <w:p w14:paraId="436FCF26" w14:textId="549C669C" w:rsidR="007B7139" w:rsidRPr="00F21FA4" w:rsidRDefault="00F21FA4" w:rsidP="00F21FA4">
      <w:pPr>
        <w:jc w:val="both"/>
        <w:rPr>
          <w:color w:val="4C94D8" w:themeColor="text2" w:themeTint="80"/>
        </w:rPr>
      </w:pPr>
      <w:r w:rsidRPr="00F21FA4">
        <w:rPr>
          <w:color w:val="4C94D8" w:themeColor="text2" w:themeTint="80"/>
        </w:rPr>
        <w:t>“</w:t>
      </w:r>
      <w:r w:rsidR="007B7139" w:rsidRPr="00F21FA4">
        <w:rPr>
          <w:color w:val="4C94D8" w:themeColor="text2" w:themeTint="80"/>
        </w:rPr>
        <w:t>¿Cuál es la fórmula regulatoria para calcular el Coeficiente de Cobertura de Liquidez y cómo debe expresarse el resultado porcentual?</w:t>
      </w:r>
      <w:r w:rsidRPr="00F21FA4">
        <w:rPr>
          <w:color w:val="4C94D8" w:themeColor="text2" w:themeTint="80"/>
        </w:rPr>
        <w:t>”</w:t>
      </w:r>
      <w:r w:rsidR="007B7139" w:rsidRPr="00F21FA4">
        <w:rPr>
          <w:color w:val="4C94D8" w:themeColor="text2" w:themeTint="80"/>
        </w:rPr>
        <w:t xml:space="preserve"> </w:t>
      </w:r>
    </w:p>
    <w:p w14:paraId="5D5F96CC" w14:textId="52910C8C" w:rsidR="003F0EC5" w:rsidRPr="007B7139" w:rsidRDefault="00F21FA4" w:rsidP="00F21FA4">
      <w:pPr>
        <w:jc w:val="both"/>
      </w:pPr>
      <w:r>
        <w:t>“</w:t>
      </w:r>
      <w:r w:rsidRPr="00F21FA4">
        <w:t>El Coeficiente de Cobertura de Liquidez será el que resulte de aplicar la fórmula siguiente y deberá expresarse como porcentaje redondeado a la centésima de punto porcentual más cercana. $$ \</w:t>
      </w:r>
      <w:proofErr w:type="gramStart"/>
      <w:r w:rsidRPr="00F21FA4">
        <w:t>frac{</w:t>
      </w:r>
      <w:proofErr w:type="gramEnd"/>
      <w:r w:rsidRPr="00F21FA4">
        <w:t>\</w:t>
      </w:r>
      <w:proofErr w:type="spellStart"/>
      <w:proofErr w:type="gramStart"/>
      <w:r w:rsidRPr="00F21FA4">
        <w:t>text</w:t>
      </w:r>
      <w:proofErr w:type="spellEnd"/>
      <w:r w:rsidRPr="00F21FA4">
        <w:t>{</w:t>
      </w:r>
      <w:proofErr w:type="gramEnd"/>
      <w:r w:rsidRPr="00F21FA4">
        <w:t>Coeficiente de Cobertura de Liquidez</w:t>
      </w:r>
      <w:proofErr w:type="gramStart"/>
      <w:r w:rsidRPr="00F21FA4">
        <w:t>}}{</w:t>
      </w:r>
      <w:proofErr w:type="gramEnd"/>
      <w:r w:rsidRPr="00F21FA4">
        <w:t>\</w:t>
      </w:r>
      <w:proofErr w:type="spellStart"/>
      <w:proofErr w:type="gramStart"/>
      <w:r w:rsidRPr="00F21FA4">
        <w:t>text</w:t>
      </w:r>
      <w:proofErr w:type="spellEnd"/>
      <w:r w:rsidRPr="00F21FA4">
        <w:t>{</w:t>
      </w:r>
      <w:proofErr w:type="gramEnd"/>
      <w:r w:rsidRPr="00F21FA4">
        <w:t>Activos Líquidos Computables}} = \</w:t>
      </w:r>
      <w:proofErr w:type="gramStart"/>
      <w:r w:rsidRPr="00F21FA4">
        <w:t>frac{</w:t>
      </w:r>
      <w:proofErr w:type="gramEnd"/>
      <w:r w:rsidRPr="00F21FA4">
        <w:t>\</w:t>
      </w:r>
      <w:proofErr w:type="spellStart"/>
      <w:proofErr w:type="gramStart"/>
      <w:r w:rsidRPr="00F21FA4">
        <w:t>text</w:t>
      </w:r>
      <w:proofErr w:type="spellEnd"/>
      <w:r w:rsidRPr="00F21FA4">
        <w:t>{</w:t>
      </w:r>
      <w:proofErr w:type="gramEnd"/>
      <w:r w:rsidRPr="00F21FA4">
        <w:t>Flujo Neto Total de Salida de Efectivo}}</w:t>
      </w:r>
      <w:r w:rsidR="009F34DD">
        <w:t xml:space="preserve"> $$</w:t>
      </w:r>
      <w:r>
        <w:t>”</w:t>
      </w:r>
    </w:p>
    <w:p w14:paraId="1FE45FD7" w14:textId="62298118" w:rsidR="007B7139" w:rsidRPr="00F21FA4" w:rsidRDefault="00F21FA4" w:rsidP="00F21FA4">
      <w:pPr>
        <w:jc w:val="both"/>
        <w:rPr>
          <w:color w:val="4C94D8" w:themeColor="text2" w:themeTint="80"/>
        </w:rPr>
      </w:pPr>
      <w:r w:rsidRPr="00F21FA4">
        <w:rPr>
          <w:color w:val="4C94D8" w:themeColor="text2" w:themeTint="80"/>
        </w:rPr>
        <w:t>“</w:t>
      </w:r>
      <w:r w:rsidR="007B7139" w:rsidRPr="00F21FA4">
        <w:rPr>
          <w:color w:val="4C94D8" w:themeColor="text2" w:themeTint="80"/>
        </w:rPr>
        <w:t>¿</w:t>
      </w:r>
      <w:r w:rsidR="00E74B31" w:rsidRPr="00F21FA4">
        <w:rPr>
          <w:color w:val="4C94D8" w:themeColor="text2" w:themeTint="80"/>
        </w:rPr>
        <w:t>Cómo se determina el flujo de salida contingente por operaciones con instrumentos fi</w:t>
      </w:r>
      <w:r w:rsidR="00DA5FD5" w:rsidRPr="00F21FA4">
        <w:rPr>
          <w:color w:val="4C94D8" w:themeColor="text2" w:themeTint="80"/>
        </w:rPr>
        <w:t>nancieros derivados</w:t>
      </w:r>
      <w:r w:rsidR="007B7139" w:rsidRPr="00F21FA4">
        <w:rPr>
          <w:color w:val="4C94D8" w:themeColor="text2" w:themeTint="80"/>
        </w:rPr>
        <w:t>?</w:t>
      </w:r>
      <w:r w:rsidRPr="00F21FA4">
        <w:rPr>
          <w:color w:val="4C94D8" w:themeColor="text2" w:themeTint="80"/>
        </w:rPr>
        <w:t>”</w:t>
      </w:r>
      <w:r w:rsidR="007B7139" w:rsidRPr="00F21FA4">
        <w:rPr>
          <w:color w:val="4C94D8" w:themeColor="text2" w:themeTint="80"/>
        </w:rPr>
        <w:t xml:space="preserve"> </w:t>
      </w:r>
    </w:p>
    <w:p w14:paraId="4B64BC1E" w14:textId="2960985C" w:rsidR="00F21FA4" w:rsidRDefault="007E632C" w:rsidP="00F21FA4">
      <w:pPr>
        <w:jc w:val="both"/>
      </w:pPr>
      <w:r>
        <w:t>“</w:t>
      </w:r>
      <w:r w:rsidR="00F21FA4" w:rsidRPr="00F21FA4">
        <w:t xml:space="preserve">Las Instituciones deberán calcular el flujo de salida contingente por operaciones con instrumentos financieros derivados como el máximo valor absoluto de la suma de los montos referidos en los incisos a) y b) siguientes, calculando dichos incisos para cada horizonte de treinta días consecutivos durante los últimos 24 meses (Look Back </w:t>
      </w:r>
      <w:proofErr w:type="spellStart"/>
      <w:r w:rsidR="00F21FA4" w:rsidRPr="00F21FA4">
        <w:t>Approach</w:t>
      </w:r>
      <w:proofErr w:type="spellEnd"/>
      <w:r w:rsidR="00F21FA4" w:rsidRPr="00F21FA4">
        <w:t>). Para cada horizonte de 30 días consecutivos, se deberán sumar: a) El flujo acumulado de garantías neto, que son las variaciones en el saldo de garantías recibidas menos las variaciones en el saldo de garantías entregadas, que resulte de los cambios en la valuación de las operaciones con instrumentos financieros derivados, sin incluir las variaciones de los saldos de garantías entregadas o recibidas que resulten de la constitución de márgenes iniciales o de la liquidación de operaciones, más b) La variación acumulada en la valuación de mercado del portafolio de operaciones con instrumentos financieros derivados que correspondan a operaciones que no estén cubiertas con garantías previamente otorgadas o recibidas o que no hayan sido correspondidas por un intercambio de garantías.</w:t>
      </w:r>
      <w:r>
        <w:t>”</w:t>
      </w:r>
    </w:p>
    <w:p w14:paraId="173D8D74" w14:textId="4C5BFD61" w:rsidR="007B7139" w:rsidRPr="007E0656" w:rsidRDefault="00F21FA4" w:rsidP="00F21FA4">
      <w:pPr>
        <w:jc w:val="both"/>
        <w:rPr>
          <w:color w:val="4C94D8" w:themeColor="text2" w:themeTint="80"/>
        </w:rPr>
      </w:pPr>
      <w:r w:rsidRPr="007E0656">
        <w:rPr>
          <w:color w:val="4C94D8" w:themeColor="text2" w:themeTint="80"/>
        </w:rPr>
        <w:t>“</w:t>
      </w:r>
      <w:r w:rsidR="007B7139" w:rsidRPr="007E0656">
        <w:rPr>
          <w:color w:val="4C94D8" w:themeColor="text2" w:themeTint="80"/>
        </w:rPr>
        <w:t xml:space="preserve">¿Cómo se calcula el </w:t>
      </w:r>
      <w:r w:rsidR="007E0656" w:rsidRPr="007E0656">
        <w:rPr>
          <w:color w:val="4C94D8" w:themeColor="text2" w:themeTint="80"/>
        </w:rPr>
        <w:t>flujo total de entrada de efectivo</w:t>
      </w:r>
      <w:r w:rsidR="007B7139" w:rsidRPr="007E0656">
        <w:rPr>
          <w:color w:val="4C94D8" w:themeColor="text2" w:themeTint="80"/>
        </w:rPr>
        <w:t>?</w:t>
      </w:r>
      <w:r w:rsidRPr="007E0656">
        <w:rPr>
          <w:color w:val="4C94D8" w:themeColor="text2" w:themeTint="80"/>
        </w:rPr>
        <w:t>”</w:t>
      </w:r>
      <w:r w:rsidR="007B7139" w:rsidRPr="007E0656">
        <w:rPr>
          <w:color w:val="4C94D8" w:themeColor="text2" w:themeTint="80"/>
        </w:rPr>
        <w:t xml:space="preserve"> </w:t>
      </w:r>
    </w:p>
    <w:p w14:paraId="5242CFD1" w14:textId="2360D993" w:rsidR="00F21FA4" w:rsidRPr="007B7139" w:rsidRDefault="007E0656" w:rsidP="00F21FA4">
      <w:pPr>
        <w:jc w:val="both"/>
      </w:pPr>
      <w:r>
        <w:t>“</w:t>
      </w:r>
      <w:r w:rsidRPr="007E0656">
        <w:t xml:space="preserve">El flujo total de entrada de efectivo será el monto que resulte menor entre: i) la suma de todos los flujos de entrada de efectivo calculados de conformidad con la fracción I anterior, y </w:t>
      </w:r>
      <w:proofErr w:type="spellStart"/>
      <w:r w:rsidRPr="007E0656">
        <w:t>ii</w:t>
      </w:r>
      <w:proofErr w:type="spellEnd"/>
      <w:r w:rsidRPr="007E0656">
        <w:t>) el 75 por ciento del flujo total de salida de efectivo</w:t>
      </w:r>
      <w:r>
        <w:t>”</w:t>
      </w:r>
    </w:p>
    <w:p w14:paraId="2F686685" w14:textId="7DDD67BA" w:rsidR="007B7139" w:rsidRPr="007E0656" w:rsidRDefault="00F21FA4" w:rsidP="00F21FA4">
      <w:pPr>
        <w:jc w:val="both"/>
        <w:rPr>
          <w:color w:val="4C94D8" w:themeColor="text2" w:themeTint="80"/>
        </w:rPr>
      </w:pPr>
      <w:r w:rsidRPr="007E0656">
        <w:rPr>
          <w:color w:val="4C94D8" w:themeColor="text2" w:themeTint="80"/>
        </w:rPr>
        <w:t>“</w:t>
      </w:r>
      <w:r w:rsidR="007B7139" w:rsidRPr="007E0656">
        <w:rPr>
          <w:color w:val="4C94D8" w:themeColor="text2" w:themeTint="80"/>
        </w:rPr>
        <w:t>¿Qué factor de salida se aplica a depósitos en cuentas transaccionales de personas físicas cubiertos por el IPAB?</w:t>
      </w:r>
      <w:r w:rsidR="007E0656" w:rsidRPr="007E0656">
        <w:rPr>
          <w:color w:val="4C94D8" w:themeColor="text2" w:themeTint="80"/>
        </w:rPr>
        <w:t>”</w:t>
      </w:r>
    </w:p>
    <w:p w14:paraId="4C991D0E" w14:textId="7A1E3FF0" w:rsidR="007E0656" w:rsidRPr="007B7139" w:rsidRDefault="007E0656" w:rsidP="00F21FA4">
      <w:pPr>
        <w:jc w:val="both"/>
      </w:pPr>
      <w:r>
        <w:t>“</w:t>
      </w:r>
      <w:r w:rsidRPr="007E0656">
        <w:t xml:space="preserve">5% | | | I.1.2 Depósitos en Cuentas Transaccionales de personas físicas y de personas físicas con actividad empresarial, elegibles como operaciones pasivas garantizadas por el IPAB de acuerdo a la Ley para la Protección al Ahorro Bancario, cuyo monto excede el límite establecido en esta, o el que corresponda en la jurisdicción en que se </w:t>
      </w:r>
      <w:r w:rsidRPr="007E0656">
        <w:lastRenderedPageBreak/>
        <w:t>hayan constituido las cuentas. | | | | I.1.2.1 Monto que no excede el límite establecido en la Ley para la Protección al Ahorro Bancario para las operaciones pasivas garantizadas por el IPAB o el que corresponda en la jurisdicción en que se hayan constituido las cuentas. | 5%</w:t>
      </w:r>
      <w:r>
        <w:t>”</w:t>
      </w:r>
    </w:p>
    <w:p w14:paraId="3A886FC0" w14:textId="4CAC4030" w:rsidR="007E0656" w:rsidRPr="009F34DD" w:rsidRDefault="007E0656" w:rsidP="00F21FA4">
      <w:pPr>
        <w:jc w:val="both"/>
        <w:rPr>
          <w:color w:val="4C94D8" w:themeColor="text2" w:themeTint="80"/>
        </w:rPr>
      </w:pPr>
      <w:r w:rsidRPr="009F34DD">
        <w:rPr>
          <w:color w:val="4C94D8" w:themeColor="text2" w:themeTint="80"/>
        </w:rPr>
        <w:t>“</w:t>
      </w:r>
      <w:r w:rsidR="007B7139" w:rsidRPr="009F34DD">
        <w:rPr>
          <w:color w:val="4C94D8" w:themeColor="text2" w:themeTint="80"/>
        </w:rPr>
        <w:t>¿</w:t>
      </w:r>
      <w:r w:rsidRPr="009F34DD">
        <w:rPr>
          <w:color w:val="4C94D8" w:themeColor="text2" w:themeTint="80"/>
        </w:rPr>
        <w:t>Cómo se registran las operaciones de compra-venta fecha valor para calcular el coeficiente de cobertura de liquidez</w:t>
      </w:r>
      <w:r w:rsidR="007B7139" w:rsidRPr="009F34DD">
        <w:rPr>
          <w:color w:val="4C94D8" w:themeColor="text2" w:themeTint="80"/>
        </w:rPr>
        <w:t>?</w:t>
      </w:r>
      <w:r w:rsidRPr="009F34DD">
        <w:rPr>
          <w:color w:val="4C94D8" w:themeColor="text2" w:themeTint="80"/>
        </w:rPr>
        <w:t>”</w:t>
      </w:r>
    </w:p>
    <w:p w14:paraId="10F4255F" w14:textId="1861052F" w:rsidR="007B7139" w:rsidRPr="007B7139" w:rsidRDefault="007E0656" w:rsidP="00F21FA4">
      <w:pPr>
        <w:jc w:val="both"/>
      </w:pPr>
      <w:r>
        <w:t>“</w:t>
      </w:r>
      <w:r w:rsidRPr="007E0656">
        <w:t>Compensar para cada operación de compra venta de títulos pactada a una fecha valor, la parte activa y pasiva de la misma operación e incluir el monto resultante como flujo de entrada si la parte activa es mayor, o bien como flujo de salida si la parte pasiva es mayor.</w:t>
      </w:r>
      <w:r>
        <w:t>”</w:t>
      </w:r>
      <w:r w:rsidRPr="007E0656">
        <w:t xml:space="preserve"> </w:t>
      </w:r>
      <w:r w:rsidR="007B7139" w:rsidRPr="007B7139">
        <w:t xml:space="preserve"> </w:t>
      </w:r>
    </w:p>
    <w:p w14:paraId="775795F6" w14:textId="3D5BD016" w:rsidR="00D76636" w:rsidRPr="00DA5FD5" w:rsidRDefault="00914323" w:rsidP="00F21FA4">
      <w:pPr>
        <w:jc w:val="both"/>
        <w:rPr>
          <w:b/>
          <w:bCs/>
        </w:rPr>
      </w:pPr>
      <w:r>
        <w:rPr>
          <w:b/>
          <w:bCs/>
        </w:rPr>
        <w:t>FE</w:t>
      </w:r>
    </w:p>
    <w:p w14:paraId="4220ECA4" w14:textId="10ADAFA2" w:rsidR="00DA5FD5" w:rsidRPr="009F34DD" w:rsidRDefault="007E632C" w:rsidP="00F21FA4">
      <w:pPr>
        <w:jc w:val="both"/>
        <w:rPr>
          <w:color w:val="4C94D8" w:themeColor="text2" w:themeTint="80"/>
        </w:rPr>
      </w:pPr>
      <w:r>
        <w:rPr>
          <w:color w:val="4C94D8" w:themeColor="text2" w:themeTint="80"/>
        </w:rPr>
        <w:t>“</w:t>
      </w:r>
      <w:r w:rsidR="00DA5FD5" w:rsidRPr="009F34DD">
        <w:rPr>
          <w:color w:val="4C94D8" w:themeColor="text2" w:themeTint="80"/>
        </w:rPr>
        <w:t>¿Cuál es la fórmula regulatoria para calcular el Coeficiente de Financiamiento Estable Neto y cómo debe expresarse el resultado porcentual?</w:t>
      </w:r>
      <w:r>
        <w:rPr>
          <w:color w:val="4C94D8" w:themeColor="text2" w:themeTint="80"/>
        </w:rPr>
        <w:t>”</w:t>
      </w:r>
    </w:p>
    <w:p w14:paraId="5A5B376C" w14:textId="060C8FF2" w:rsidR="009F34DD" w:rsidRPr="00DA5FD5" w:rsidRDefault="009F34DD" w:rsidP="00F21FA4">
      <w:pPr>
        <w:jc w:val="both"/>
      </w:pPr>
      <w:r>
        <w:t>“</w:t>
      </w:r>
      <w:r w:rsidRPr="009F34DD">
        <w:t>El Coeficiente de Financiamiento Estable Neto será el que resulte de aplicar la fórmula siguiente y deberá expresarse como porcentaje redondeado a la centésima de punto porcentual más cercana. $$ \</w:t>
      </w:r>
      <w:proofErr w:type="gramStart"/>
      <w:r w:rsidRPr="009F34DD">
        <w:t>frac{</w:t>
      </w:r>
      <w:proofErr w:type="gramEnd"/>
      <w:r w:rsidRPr="009F34DD">
        <w:t>\</w:t>
      </w:r>
      <w:proofErr w:type="spellStart"/>
      <w:proofErr w:type="gramStart"/>
      <w:r w:rsidRPr="009F34DD">
        <w:t>text</w:t>
      </w:r>
      <w:proofErr w:type="spellEnd"/>
      <w:r w:rsidRPr="009F34DD">
        <w:t>{</w:t>
      </w:r>
      <w:proofErr w:type="gramEnd"/>
      <w:r w:rsidRPr="009F34DD">
        <w:t>Coeficiente de Financiamiento Estable Neto</w:t>
      </w:r>
      <w:proofErr w:type="gramStart"/>
      <w:r w:rsidRPr="009F34DD">
        <w:t>}}{</w:t>
      </w:r>
      <w:proofErr w:type="gramEnd"/>
      <w:r w:rsidRPr="009F34DD">
        <w:t>} = \</w:t>
      </w:r>
      <w:proofErr w:type="gramStart"/>
      <w:r w:rsidRPr="009F34DD">
        <w:t>frac{</w:t>
      </w:r>
      <w:proofErr w:type="gramEnd"/>
      <w:r w:rsidRPr="009F34DD">
        <w:t>\</w:t>
      </w:r>
      <w:proofErr w:type="spellStart"/>
      <w:proofErr w:type="gramStart"/>
      <w:r w:rsidRPr="009F34DD">
        <w:t>text</w:t>
      </w:r>
      <w:proofErr w:type="spellEnd"/>
      <w:r w:rsidRPr="009F34DD">
        <w:t>{</w:t>
      </w:r>
      <w:proofErr w:type="gramEnd"/>
      <w:r w:rsidRPr="009F34DD">
        <w:t>Monto de Financiamiento Estable Disponible</w:t>
      </w:r>
      <w:proofErr w:type="gramStart"/>
      <w:r w:rsidRPr="009F34DD">
        <w:t>}}{</w:t>
      </w:r>
      <w:proofErr w:type="gramEnd"/>
      <w:r w:rsidRPr="009F34DD">
        <w:t>\</w:t>
      </w:r>
      <w:proofErr w:type="spellStart"/>
      <w:proofErr w:type="gramStart"/>
      <w:r w:rsidRPr="009F34DD">
        <w:t>text</w:t>
      </w:r>
      <w:proofErr w:type="spellEnd"/>
      <w:r w:rsidRPr="009F34DD">
        <w:t>{</w:t>
      </w:r>
      <w:proofErr w:type="gramEnd"/>
      <w:r w:rsidRPr="009F34DD">
        <w:t>Monto de Financiamiento Estable Requerido}} $$</w:t>
      </w:r>
      <w:r>
        <w:t>”</w:t>
      </w:r>
    </w:p>
    <w:p w14:paraId="04232899" w14:textId="38346BEA" w:rsidR="00DA5FD5" w:rsidRPr="009F34DD" w:rsidRDefault="007E632C" w:rsidP="00F21FA4">
      <w:pPr>
        <w:jc w:val="both"/>
        <w:rPr>
          <w:color w:val="4C94D8" w:themeColor="text2" w:themeTint="80"/>
        </w:rPr>
      </w:pPr>
      <w:r>
        <w:rPr>
          <w:color w:val="4C94D8" w:themeColor="text2" w:themeTint="80"/>
        </w:rPr>
        <w:t>“</w:t>
      </w:r>
      <w:r w:rsidR="00DA5FD5" w:rsidRPr="009F34DD">
        <w:rPr>
          <w:color w:val="4C94D8" w:themeColor="text2" w:themeTint="80"/>
        </w:rPr>
        <w:t>¿Con qué periodicidad debe reportarse el CFEN al Banco de México y a qué fecha de cálculo corresponde?</w:t>
      </w:r>
      <w:r>
        <w:rPr>
          <w:color w:val="4C94D8" w:themeColor="text2" w:themeTint="80"/>
        </w:rPr>
        <w:t>”</w:t>
      </w:r>
    </w:p>
    <w:p w14:paraId="76E2114A" w14:textId="0694B012" w:rsidR="009F34DD" w:rsidRPr="00DA5FD5" w:rsidRDefault="009F34DD" w:rsidP="00F21FA4">
      <w:pPr>
        <w:jc w:val="both"/>
      </w:pPr>
      <w:r>
        <w:t>“</w:t>
      </w:r>
      <w:r w:rsidRPr="009F34DD">
        <w:t>El Coeficiente de Financiamiento Estable Neto que corresponda al último Día Hábil de cada mes deberá reportarse durante los primeros dieciséis Días Hábiles del mes inmediato siguiente.</w:t>
      </w:r>
      <w:r>
        <w:t>”</w:t>
      </w:r>
    </w:p>
    <w:p w14:paraId="53D920F7" w14:textId="2BDF04E0" w:rsidR="00DA5FD5" w:rsidRPr="009F34DD" w:rsidRDefault="007E632C" w:rsidP="00F21FA4">
      <w:pPr>
        <w:jc w:val="both"/>
        <w:rPr>
          <w:color w:val="4C94D8" w:themeColor="text2" w:themeTint="80"/>
        </w:rPr>
      </w:pPr>
      <w:r>
        <w:rPr>
          <w:color w:val="4C94D8" w:themeColor="text2" w:themeTint="80"/>
        </w:rPr>
        <w:t>“</w:t>
      </w:r>
      <w:r w:rsidR="00DA5FD5" w:rsidRPr="009F34DD">
        <w:rPr>
          <w:color w:val="4C94D8" w:themeColor="text2" w:themeTint="80"/>
        </w:rPr>
        <w:t>¿Qué se entiende por Monto de Financiamiento Estable Disponible para efectos del CFEN?</w:t>
      </w:r>
      <w:r>
        <w:rPr>
          <w:color w:val="4C94D8" w:themeColor="text2" w:themeTint="80"/>
        </w:rPr>
        <w:t>”</w:t>
      </w:r>
      <w:r w:rsidR="00DA5FD5" w:rsidRPr="009F34DD">
        <w:rPr>
          <w:color w:val="4C94D8" w:themeColor="text2" w:themeTint="80"/>
        </w:rPr>
        <w:t xml:space="preserve"> </w:t>
      </w:r>
    </w:p>
    <w:p w14:paraId="23751109" w14:textId="311FCBFF" w:rsidR="009F34DD" w:rsidRPr="00DA5FD5" w:rsidRDefault="009F34DD" w:rsidP="00F21FA4">
      <w:pPr>
        <w:jc w:val="both"/>
      </w:pPr>
      <w:r>
        <w:t>“</w:t>
      </w:r>
      <w:r w:rsidRPr="009F34DD">
        <w:t>Monto de Financiamiento Estable Disponible: al monto que resulte de sumar los pasivos y capital señalados en el Anexo 6 de las presentes disposiciones después de aplicarles los factores que les correspondan dependiendo de su clasificación en términos del propio anexo</w:t>
      </w:r>
      <w:r>
        <w:t>”</w:t>
      </w:r>
    </w:p>
    <w:p w14:paraId="4BD28416" w14:textId="0986A857" w:rsidR="00DA5FD5" w:rsidRPr="007E632C" w:rsidRDefault="007E632C" w:rsidP="00F21FA4">
      <w:pPr>
        <w:jc w:val="both"/>
        <w:rPr>
          <w:color w:val="4C94D8" w:themeColor="text2" w:themeTint="80"/>
        </w:rPr>
      </w:pPr>
      <w:r>
        <w:rPr>
          <w:color w:val="4C94D8" w:themeColor="text2" w:themeTint="80"/>
        </w:rPr>
        <w:t>“</w:t>
      </w:r>
      <w:r w:rsidR="00DA5FD5" w:rsidRPr="007E632C">
        <w:rPr>
          <w:color w:val="4C94D8" w:themeColor="text2" w:themeTint="80"/>
        </w:rPr>
        <w:t>¿Qué se entiende por Monto de Financiamiento Estable Requerido para efectos del CFEN?</w:t>
      </w:r>
      <w:r>
        <w:rPr>
          <w:color w:val="4C94D8" w:themeColor="text2" w:themeTint="80"/>
        </w:rPr>
        <w:t>”</w:t>
      </w:r>
    </w:p>
    <w:p w14:paraId="116866EB" w14:textId="7F814490" w:rsidR="009F34DD" w:rsidRPr="00DA5FD5" w:rsidRDefault="007E632C" w:rsidP="00F21FA4">
      <w:pPr>
        <w:jc w:val="both"/>
      </w:pPr>
      <w:r>
        <w:t>“</w:t>
      </w:r>
      <w:r w:rsidRPr="007E632C">
        <w:t xml:space="preserve">Monto de Financiamiento Estable Requerido: al monto que resulte de sumar: (i) los activos no restringidos y otras operaciones señaladas en el Anexo 7 de las presentes </w:t>
      </w:r>
      <w:r w:rsidRPr="007E632C">
        <w:lastRenderedPageBreak/>
        <w:t>disposiciones, y (</w:t>
      </w:r>
      <w:proofErr w:type="spellStart"/>
      <w:r w:rsidRPr="007E632C">
        <w:t>ii</w:t>
      </w:r>
      <w:proofErr w:type="spellEnd"/>
      <w:r w:rsidRPr="007E632C">
        <w:t>) los activos restringidos u otorgados como garantía señalados en el Anexo 8 de las presentes disposiciones. En ambos casos la suma se hará después de aplicarles los factores que les correspondan dependiendo de su clasificación en términos de los anexos referidos.</w:t>
      </w:r>
      <w:r>
        <w:t>”</w:t>
      </w:r>
    </w:p>
    <w:p w14:paraId="08C86617" w14:textId="7A65471A" w:rsidR="007E632C" w:rsidRPr="007E632C" w:rsidRDefault="007E632C" w:rsidP="00914323">
      <w:pPr>
        <w:jc w:val="both"/>
        <w:rPr>
          <w:color w:val="4C94D8" w:themeColor="text2" w:themeTint="80"/>
        </w:rPr>
      </w:pPr>
      <w:r w:rsidRPr="007E632C">
        <w:rPr>
          <w:color w:val="4C94D8" w:themeColor="text2" w:themeTint="80"/>
        </w:rPr>
        <w:t>“</w:t>
      </w:r>
      <w:r w:rsidR="00DA5FD5" w:rsidRPr="007E632C">
        <w:rPr>
          <w:color w:val="4C94D8" w:themeColor="text2" w:themeTint="80"/>
        </w:rPr>
        <w:t>¿Qué factor de financiamiento estable disponible se asigna al capital fundamental,</w:t>
      </w:r>
      <w:r w:rsidR="00914323">
        <w:rPr>
          <w:color w:val="4C94D8" w:themeColor="text2" w:themeTint="80"/>
        </w:rPr>
        <w:t xml:space="preserve"> </w:t>
      </w:r>
      <w:r w:rsidR="00DA5FD5" w:rsidRPr="007E632C">
        <w:rPr>
          <w:color w:val="4C94D8" w:themeColor="text2" w:themeTint="80"/>
        </w:rPr>
        <w:t>capital básico no fundamental y pasivos con plazo residual igual o mayor a un año?</w:t>
      </w:r>
      <w:r w:rsidRPr="007E632C">
        <w:rPr>
          <w:color w:val="4C94D8" w:themeColor="text2" w:themeTint="80"/>
        </w:rPr>
        <w:t>”</w:t>
      </w:r>
    </w:p>
    <w:p w14:paraId="66223075" w14:textId="6309D2D0" w:rsidR="00DA5FD5" w:rsidRPr="00DA5FD5" w:rsidRDefault="007E632C" w:rsidP="00F21FA4">
      <w:pPr>
        <w:jc w:val="both"/>
      </w:pPr>
      <w:r>
        <w:t>“</w:t>
      </w:r>
      <w:r w:rsidRPr="007E632C">
        <w:t>Los factores para la determinación del financiamiento estable disponible serán: I. Pasivos y capital con factor del 100% A. Capital fundamental definido en las Disposiciones artículo 2 Bis 6, fracción I, inciso a), sin considerar las deducciones establecidas en dicha fracción y Capital Básico No Fundamental definido en las Disposiciones en el artículo 2 Bis 6, fracción II.</w:t>
      </w:r>
      <w:r>
        <w:t>”</w:t>
      </w:r>
      <w:r w:rsidR="00DA5FD5" w:rsidRPr="00DA5FD5">
        <w:t xml:space="preserve"> </w:t>
      </w:r>
    </w:p>
    <w:p w14:paraId="73422960" w14:textId="737D32F4" w:rsidR="00DA5FD5" w:rsidRPr="00841449" w:rsidRDefault="00DA5FD5" w:rsidP="00F21FA4">
      <w:pPr>
        <w:jc w:val="both"/>
        <w:rPr>
          <w:b/>
          <w:bCs/>
        </w:rPr>
      </w:pPr>
      <w:r w:rsidRPr="00841449">
        <w:rPr>
          <w:b/>
          <w:bCs/>
        </w:rPr>
        <w:t>LID</w:t>
      </w:r>
    </w:p>
    <w:p w14:paraId="251C76F5" w14:textId="15F75699" w:rsidR="00841449" w:rsidRPr="007E632C" w:rsidRDefault="007E632C" w:rsidP="00F21FA4">
      <w:pPr>
        <w:jc w:val="both"/>
        <w:rPr>
          <w:color w:val="4C94D8" w:themeColor="text2" w:themeTint="80"/>
        </w:rPr>
      </w:pPr>
      <w:r w:rsidRPr="007E632C">
        <w:rPr>
          <w:color w:val="4C94D8" w:themeColor="text2" w:themeTint="80"/>
        </w:rPr>
        <w:t>“</w:t>
      </w:r>
      <w:r w:rsidR="00841449" w:rsidRPr="007E632C">
        <w:rPr>
          <w:color w:val="4C94D8" w:themeColor="text2" w:themeTint="80"/>
        </w:rPr>
        <w:t>¿Cuál es la definición de liquidez intradía según las herramientas de monitoreo del Comité de Basilea?</w:t>
      </w:r>
      <w:r w:rsidRPr="007E632C">
        <w:rPr>
          <w:color w:val="4C94D8" w:themeColor="text2" w:themeTint="80"/>
        </w:rPr>
        <w:t>”</w:t>
      </w:r>
      <w:r w:rsidR="00841449" w:rsidRPr="007E632C">
        <w:rPr>
          <w:color w:val="4C94D8" w:themeColor="text2" w:themeTint="80"/>
        </w:rPr>
        <w:t xml:space="preserve"> </w:t>
      </w:r>
    </w:p>
    <w:p w14:paraId="3527821D" w14:textId="70066163" w:rsidR="007E632C" w:rsidRPr="00841449" w:rsidRDefault="007E632C" w:rsidP="00F21FA4">
      <w:pPr>
        <w:jc w:val="both"/>
      </w:pPr>
      <w:r>
        <w:t>“</w:t>
      </w:r>
      <w:r w:rsidRPr="007E632C">
        <w:t>Liquidez intradía: fondos a los que se puede acceder durante el día hábil, usualmente para permitir que los bancos realicen pagos en tiempo real;</w:t>
      </w:r>
      <w:r>
        <w:t>”</w:t>
      </w:r>
    </w:p>
    <w:p w14:paraId="06756504" w14:textId="1AAE2E19" w:rsidR="00841449" w:rsidRPr="007E632C" w:rsidRDefault="007E632C" w:rsidP="00F21FA4">
      <w:pPr>
        <w:jc w:val="both"/>
        <w:rPr>
          <w:color w:val="4C94D8" w:themeColor="text2" w:themeTint="80"/>
        </w:rPr>
      </w:pPr>
      <w:r w:rsidRPr="007E632C">
        <w:rPr>
          <w:color w:val="4C94D8" w:themeColor="text2" w:themeTint="80"/>
        </w:rPr>
        <w:t>“</w:t>
      </w:r>
      <w:r w:rsidR="00841449" w:rsidRPr="007E632C">
        <w:rPr>
          <w:color w:val="4C94D8" w:themeColor="text2" w:themeTint="80"/>
        </w:rPr>
        <w:t>¿Cuáles son las principales fuentes propias de liquidez intradía que puede utilizar un banco durante el día hábil?</w:t>
      </w:r>
      <w:r w:rsidRPr="007E632C">
        <w:rPr>
          <w:color w:val="4C94D8" w:themeColor="text2" w:themeTint="80"/>
        </w:rPr>
        <w:t>”</w:t>
      </w:r>
    </w:p>
    <w:p w14:paraId="25960F62" w14:textId="665F2750" w:rsidR="007E632C" w:rsidRPr="00841449" w:rsidRDefault="007E632C" w:rsidP="00F21FA4">
      <w:pPr>
        <w:jc w:val="both"/>
      </w:pPr>
      <w:r>
        <w:t>“</w:t>
      </w:r>
      <w:r w:rsidRPr="007E632C">
        <w:t xml:space="preserve">(i) Fuentes </w:t>
      </w:r>
      <w:proofErr w:type="spellStart"/>
      <w:r w:rsidRPr="007E632C">
        <w:t>Fuentes</w:t>
      </w:r>
      <w:proofErr w:type="spellEnd"/>
      <w:r w:rsidRPr="007E632C">
        <w:t xml:space="preserve"> propias - Saldos de reserva en el banco central; - Colateral pignorado con el banco central o con sistemas auxiliares que pueda convertirse libremente en liquidez intradía; - Activos libres de gravamen en el balance del banco que puedan convertirse libremente en liquidez intradía; - Líneas de crédito garantizadas y no garantizadas, comprometidas y no comprometidas, disponibles intradía; - Saldos con otros bancos que puedan utilizarse para liquidación intradía.</w:t>
      </w:r>
      <w:r>
        <w:t>”</w:t>
      </w:r>
    </w:p>
    <w:p w14:paraId="60B10BCB" w14:textId="697BB728" w:rsidR="00841449" w:rsidRPr="00914323" w:rsidRDefault="00914323" w:rsidP="00F21FA4">
      <w:pPr>
        <w:jc w:val="both"/>
        <w:rPr>
          <w:color w:val="4C94D8" w:themeColor="text2" w:themeTint="80"/>
        </w:rPr>
      </w:pPr>
      <w:r w:rsidRPr="00914323">
        <w:rPr>
          <w:color w:val="4C94D8" w:themeColor="text2" w:themeTint="80"/>
        </w:rPr>
        <w:t>“</w:t>
      </w:r>
      <w:r w:rsidR="00841449" w:rsidRPr="00914323">
        <w:rPr>
          <w:color w:val="4C94D8" w:themeColor="text2" w:themeTint="80"/>
        </w:rPr>
        <w:t>¿C</w:t>
      </w:r>
      <w:r w:rsidRPr="00914323">
        <w:rPr>
          <w:color w:val="4C94D8" w:themeColor="text2" w:themeTint="80"/>
        </w:rPr>
        <w:t>ómo se define un escenario de tensión de contraparte?”</w:t>
      </w:r>
    </w:p>
    <w:p w14:paraId="723BE288" w14:textId="77777777" w:rsidR="00914323" w:rsidRDefault="00914323" w:rsidP="00F21FA4">
      <w:pPr>
        <w:jc w:val="both"/>
      </w:pPr>
      <w:r>
        <w:t>“</w:t>
      </w:r>
      <w:r w:rsidRPr="00914323">
        <w:t>(</w:t>
      </w:r>
      <w:proofErr w:type="spellStart"/>
      <w:r w:rsidRPr="00914323">
        <w:t>ii</w:t>
      </w:r>
      <w:proofErr w:type="spellEnd"/>
      <w:r w:rsidRPr="00914323">
        <w:t>) Tensión de contraparte: una contraparte importante sufre un evento de tensión intradía que le impide realizar pagos 32. Una tensión de contraparte puede provocar que los participantes directos y los bancos que utilizan servicios de corresponsalía bancaria no puedan depender de los pagos entrantes de la contraparte estresada, reduciendo la disponibilidad de liquidez intradía que puede obtenerse mediante la recepción de pagos de dicha contraparte.</w:t>
      </w:r>
      <w:r>
        <w:t>”</w:t>
      </w:r>
    </w:p>
    <w:p w14:paraId="031E4435" w14:textId="19889042" w:rsidR="00841449" w:rsidRPr="00914323" w:rsidRDefault="00914323" w:rsidP="00F21FA4">
      <w:pPr>
        <w:jc w:val="both"/>
        <w:rPr>
          <w:color w:val="4C94D8" w:themeColor="text2" w:themeTint="80"/>
        </w:rPr>
      </w:pPr>
      <w:r w:rsidRPr="00914323">
        <w:rPr>
          <w:color w:val="4C94D8" w:themeColor="text2" w:themeTint="80"/>
        </w:rPr>
        <w:t>“</w:t>
      </w:r>
      <w:r w:rsidR="00841449" w:rsidRPr="00914323">
        <w:rPr>
          <w:color w:val="4C94D8" w:themeColor="text2" w:themeTint="80"/>
        </w:rPr>
        <w:t>¿Cómo se calcula el uso máximo diario de liquidez intradía a partir de la posición neta acumulada de pagos enviados y recibidos?</w:t>
      </w:r>
      <w:r w:rsidRPr="00914323">
        <w:rPr>
          <w:color w:val="4C94D8" w:themeColor="text2" w:themeTint="80"/>
        </w:rPr>
        <w:t>”</w:t>
      </w:r>
      <w:r w:rsidR="00841449" w:rsidRPr="00914323">
        <w:rPr>
          <w:color w:val="4C94D8" w:themeColor="text2" w:themeTint="80"/>
        </w:rPr>
        <w:t xml:space="preserve"> </w:t>
      </w:r>
    </w:p>
    <w:p w14:paraId="706077CB" w14:textId="4ADF934D" w:rsidR="00914323" w:rsidRPr="00841449" w:rsidRDefault="00914323" w:rsidP="00F21FA4">
      <w:pPr>
        <w:jc w:val="both"/>
      </w:pPr>
      <w:r>
        <w:lastRenderedPageBreak/>
        <w:t>“</w:t>
      </w:r>
      <w:r w:rsidRPr="00914323">
        <w:t>(i) Uso máximo diario de liquidez intradía 13. Esta herramienta permitirá a los supervisores monitorear el uso de liquidez intradía de un banco en condiciones normales. Requerirá que los bancos monitoreen el saldo neto de todos los pagos realizados y recibidos durante el día en su cuenta de liquidación, ya sea con el banco central (si es participante directo) o en su cuenta mantenida con un banco corresponsal (o cuentas, si se utiliza más de un banco corresponsal para liquidar pagos). La mayor posición neta negativa durante el día hábil en la(s) cuenta(s), es decir, el mayor saldo neto acumulado entre pagos realizados y recibidos, determinará el uso máximo diario de liquidez intradía del banco. La posición neta debe determinarse con marcas de tiempo de liquidación (o su equivalente), usando datos transacción por transacción de la(s) cuenta(s). El mayor saldo neto negativo puede calcularse al cierre del día hábil y no requiere monitoreo en tiempo real durante todo el día.</w:t>
      </w:r>
      <w:r>
        <w:t>”</w:t>
      </w:r>
    </w:p>
    <w:p w14:paraId="1E59BB61" w14:textId="53445723" w:rsidR="00914323" w:rsidRPr="00914323" w:rsidRDefault="00914323" w:rsidP="00F21FA4">
      <w:pPr>
        <w:jc w:val="both"/>
        <w:rPr>
          <w:color w:val="4C94D8" w:themeColor="text2" w:themeTint="80"/>
        </w:rPr>
      </w:pPr>
      <w:r w:rsidRPr="00914323">
        <w:rPr>
          <w:color w:val="4C94D8" w:themeColor="text2" w:themeTint="80"/>
        </w:rPr>
        <w:t>“</w:t>
      </w:r>
      <w:r w:rsidR="00841449" w:rsidRPr="00914323">
        <w:rPr>
          <w:color w:val="4C94D8" w:themeColor="text2" w:themeTint="80"/>
        </w:rPr>
        <w:t>¿Qué son las obligaciones con horario específico y por qué su incumplimiento puede generar riesgo financiero o reputacional?</w:t>
      </w:r>
      <w:r w:rsidRPr="00914323">
        <w:rPr>
          <w:color w:val="4C94D8" w:themeColor="text2" w:themeTint="80"/>
        </w:rPr>
        <w:t>”</w:t>
      </w:r>
    </w:p>
    <w:p w14:paraId="10BA56CA" w14:textId="1A9CC60D" w:rsidR="00841449" w:rsidRPr="00841449" w:rsidRDefault="00914323" w:rsidP="00F21FA4">
      <w:pPr>
        <w:jc w:val="both"/>
      </w:pPr>
      <w:r>
        <w:t>“</w:t>
      </w:r>
      <w:r w:rsidRPr="00914323">
        <w:t>(</w:t>
      </w:r>
      <w:proofErr w:type="spellStart"/>
      <w:r w:rsidRPr="00914323">
        <w:t>iv</w:t>
      </w:r>
      <w:proofErr w:type="spellEnd"/>
      <w:r w:rsidRPr="00914323">
        <w:t>) Obligaciones con horario específico 22. Esta herramienta permitirá a los supervisores comprender mejor las obligaciones con horario específico de un banco. La falta de liquidación oportuna de estas obligaciones podría generar una penalización financiera, daño reputacional para el banco o pérdida de negocio futuro.</w:t>
      </w:r>
      <w:r>
        <w:t>”</w:t>
      </w:r>
    </w:p>
    <w:p w14:paraId="3F12D4AC" w14:textId="2D3702DD" w:rsidR="00841449" w:rsidRDefault="00841449" w:rsidP="00F21FA4">
      <w:pPr>
        <w:jc w:val="both"/>
      </w:pPr>
    </w:p>
    <w:sectPr w:rsidR="0084144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139"/>
    <w:rsid w:val="00295949"/>
    <w:rsid w:val="003F0EC5"/>
    <w:rsid w:val="007B7139"/>
    <w:rsid w:val="007E0656"/>
    <w:rsid w:val="007E632C"/>
    <w:rsid w:val="00805BB9"/>
    <w:rsid w:val="00841449"/>
    <w:rsid w:val="00914323"/>
    <w:rsid w:val="009F34DD"/>
    <w:rsid w:val="009F7EC3"/>
    <w:rsid w:val="00A0656B"/>
    <w:rsid w:val="00D76636"/>
    <w:rsid w:val="00DA5FD5"/>
    <w:rsid w:val="00E74B31"/>
    <w:rsid w:val="00F21FA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C1FFC"/>
  <w15:chartTrackingRefBased/>
  <w15:docId w15:val="{BD0489BE-4C3A-4929-9A1A-EC48598E3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B71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B71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B713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B713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B713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B713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B713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B713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B713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B713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B713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B713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B713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B713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B713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B713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B713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B7139"/>
    <w:rPr>
      <w:rFonts w:eastAsiaTheme="majorEastAsia" w:cstheme="majorBidi"/>
      <w:color w:val="272727" w:themeColor="text1" w:themeTint="D8"/>
    </w:rPr>
  </w:style>
  <w:style w:type="paragraph" w:styleId="Ttulo">
    <w:name w:val="Title"/>
    <w:basedOn w:val="Normal"/>
    <w:next w:val="Normal"/>
    <w:link w:val="TtuloCar"/>
    <w:uiPriority w:val="10"/>
    <w:qFormat/>
    <w:rsid w:val="007B71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B713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B713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B713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B7139"/>
    <w:pPr>
      <w:spacing w:before="160"/>
      <w:jc w:val="center"/>
    </w:pPr>
    <w:rPr>
      <w:i/>
      <w:iCs/>
      <w:color w:val="404040" w:themeColor="text1" w:themeTint="BF"/>
    </w:rPr>
  </w:style>
  <w:style w:type="character" w:customStyle="1" w:styleId="CitaCar">
    <w:name w:val="Cita Car"/>
    <w:basedOn w:val="Fuentedeprrafopredeter"/>
    <w:link w:val="Cita"/>
    <w:uiPriority w:val="29"/>
    <w:rsid w:val="007B7139"/>
    <w:rPr>
      <w:i/>
      <w:iCs/>
      <w:color w:val="404040" w:themeColor="text1" w:themeTint="BF"/>
    </w:rPr>
  </w:style>
  <w:style w:type="paragraph" w:styleId="Prrafodelista">
    <w:name w:val="List Paragraph"/>
    <w:basedOn w:val="Normal"/>
    <w:uiPriority w:val="34"/>
    <w:qFormat/>
    <w:rsid w:val="007B7139"/>
    <w:pPr>
      <w:ind w:left="720"/>
      <w:contextualSpacing/>
    </w:pPr>
  </w:style>
  <w:style w:type="character" w:styleId="nfasisintenso">
    <w:name w:val="Intense Emphasis"/>
    <w:basedOn w:val="Fuentedeprrafopredeter"/>
    <w:uiPriority w:val="21"/>
    <w:qFormat/>
    <w:rsid w:val="007B7139"/>
    <w:rPr>
      <w:i/>
      <w:iCs/>
      <w:color w:val="0F4761" w:themeColor="accent1" w:themeShade="BF"/>
    </w:rPr>
  </w:style>
  <w:style w:type="paragraph" w:styleId="Citadestacada">
    <w:name w:val="Intense Quote"/>
    <w:basedOn w:val="Normal"/>
    <w:next w:val="Normal"/>
    <w:link w:val="CitadestacadaCar"/>
    <w:uiPriority w:val="30"/>
    <w:qFormat/>
    <w:rsid w:val="007B71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B7139"/>
    <w:rPr>
      <w:i/>
      <w:iCs/>
      <w:color w:val="0F4761" w:themeColor="accent1" w:themeShade="BF"/>
    </w:rPr>
  </w:style>
  <w:style w:type="character" w:styleId="Referenciaintensa">
    <w:name w:val="Intense Reference"/>
    <w:basedOn w:val="Fuentedeprrafopredeter"/>
    <w:uiPriority w:val="32"/>
    <w:qFormat/>
    <w:rsid w:val="007B713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567A74-5FBC-4BF8-9D8A-8DE33E77AB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4</Pages>
  <Words>1286</Words>
  <Characters>7075</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Jacqueline Sarmiento Cervantes</dc:creator>
  <cp:keywords/>
  <dc:description/>
  <cp:lastModifiedBy>Jacqueline Sarmiento Cervantes</cp:lastModifiedBy>
  <cp:revision>1</cp:revision>
  <dcterms:created xsi:type="dcterms:W3CDTF">2026-05-21T20:56:00Z</dcterms:created>
  <dcterms:modified xsi:type="dcterms:W3CDTF">2026-05-22T03:26:00Z</dcterms:modified>
</cp:coreProperties>
</file>