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023702623"/>
        <w:docPartObj>
          <w:docPartGallery w:val="Table of Contents"/>
          <w:docPartUnique/>
        </w:docPartObj>
      </w:sdtPr>
      <w:sdtEndPr>
        <w:rPr>
          <w:lang w:val="be-BY"/>
        </w:rPr>
      </w:sdtEndPr>
      <w:sdtContent>
        <w:p w:rsidR="00666BA4" w:rsidRPr="00666BA4" w:rsidRDefault="00666BA4" w:rsidP="00666BA4">
          <w:pPr>
            <w:pStyle w:val="TOCHeading"/>
            <w:spacing w:before="0" w:line="20" w:lineRule="atLeast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666BA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666BA4" w:rsidRPr="00666BA4" w:rsidRDefault="00666BA4" w:rsidP="00666BA4">
          <w:pPr>
            <w:spacing w:after="0" w:line="20" w:lineRule="atLeast"/>
            <w:rPr>
              <w:szCs w:val="28"/>
              <w:lang w:val="ru-RU"/>
            </w:rPr>
          </w:pPr>
          <w:bookmarkStart w:id="0" w:name="_GoBack"/>
          <w:bookmarkEnd w:id="0"/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ВВЕДЕНИЕ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7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1 ОБЗОР ЛИТЕРАТУРЫ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9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2 СИСТЕМНОЕ ПРОЕКТИРОВАНИЕ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16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>2.1 Структура программного средства резервного копирования файлов</w:t>
          </w:r>
          <w:r w:rsidRPr="00666BA4">
            <w:ptab w:relativeTo="margin" w:alignment="right" w:leader="dot"/>
          </w:r>
          <w:r w:rsidRPr="00666BA4">
            <w:t>16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>2.2 Виды сигнатур</w:t>
          </w:r>
          <w:r w:rsidRPr="00666BA4">
            <w:ptab w:relativeTo="margin" w:alignment="right" w:leader="dot"/>
          </w:r>
          <w:r w:rsidRPr="00666BA4">
            <w:t>17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>2.3 Обоснование выбора программных средств</w:t>
          </w:r>
          <w:r w:rsidRPr="00666BA4">
            <w:ptab w:relativeTo="margin" w:alignment="right" w:leader="dot"/>
          </w:r>
          <w:r w:rsidRPr="00666BA4">
            <w:t>19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3 ФУНКЦИОНАЛЬНОЕ ПРОЕКТИРОВАНИЕ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21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3.1 </w:t>
          </w:r>
          <w:r w:rsidRPr="00666BA4">
            <w:rPr>
              <w:color w:val="000000"/>
            </w:rPr>
            <w:t xml:space="preserve">Выбор протокола обмена сообщениями </w:t>
          </w:r>
          <w:r w:rsidRPr="00666BA4">
            <w:ptab w:relativeTo="margin" w:alignment="right" w:leader="dot"/>
          </w:r>
          <w:r w:rsidRPr="00666BA4">
            <w:t>21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3.2 Основные классы блока обработки клиентских запросов </w:t>
          </w:r>
          <w:r w:rsidRPr="00666BA4">
            <w:ptab w:relativeTo="margin" w:alignment="right" w:leader="dot"/>
          </w:r>
          <w:r w:rsidRPr="00666BA4">
            <w:t>22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3.3 Основные классы блока обработки сигнатур </w:t>
          </w:r>
          <w:r w:rsidRPr="00666BA4">
            <w:ptab w:relativeTo="margin" w:alignment="right" w:leader="dot"/>
          </w:r>
          <w:r w:rsidRPr="00666BA4">
            <w:t>25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3.4 Классы подсистемы генерации сигнатур </w:t>
          </w:r>
          <w:r w:rsidRPr="00666BA4">
            <w:ptab w:relativeTo="margin" w:alignment="right" w:leader="dot"/>
          </w:r>
          <w:r w:rsidRPr="00666BA4">
            <w:t>27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3.5 Основные классы интерфейса пользователя </w:t>
          </w:r>
          <w:r w:rsidRPr="00666BA4">
            <w:ptab w:relativeTo="margin" w:alignment="right" w:leader="dot"/>
          </w:r>
          <w:r w:rsidRPr="00666BA4">
            <w:t>30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3.6 Основные классы блока управления </w:t>
          </w:r>
          <w:r w:rsidRPr="00666BA4">
            <w:ptab w:relativeTo="margin" w:alignment="right" w:leader="dot"/>
          </w:r>
          <w:r w:rsidRPr="00666BA4">
            <w:t>33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3.7 Основные классы модуля контроля изменений файлов </w:t>
          </w:r>
          <w:r w:rsidRPr="00666BA4">
            <w:ptab w:relativeTo="margin" w:alignment="right" w:leader="dot"/>
          </w:r>
          <w:r w:rsidRPr="00666BA4">
            <w:t>37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4 РАЗРАБОТКА ПРОГРАММНЫХ МОДУЛЕЙ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38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4.1 </w:t>
          </w:r>
          <w:r w:rsidRPr="00666BA4">
            <w:rPr>
              <w:color w:val="000000"/>
            </w:rPr>
            <w:t>Генерирование сигнатур</w:t>
          </w:r>
          <w:r w:rsidRPr="00666BA4">
            <w:ptab w:relativeTo="margin" w:alignment="right" w:leader="dot"/>
          </w:r>
          <w:r w:rsidRPr="00666BA4">
            <w:t>38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4.2 </w:t>
          </w:r>
          <w:r w:rsidRPr="00666BA4">
            <w:rPr>
              <w:color w:val="000000"/>
            </w:rPr>
            <w:t>Конвейерная обработка</w:t>
          </w:r>
          <w:r w:rsidRPr="00666BA4">
            <w:ptab w:relativeTo="margin" w:alignment="right" w:leader="dot"/>
          </w:r>
          <w:r w:rsidRPr="00666BA4">
            <w:t>45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4.3 </w:t>
          </w:r>
          <w:r w:rsidRPr="00666BA4">
            <w:rPr>
              <w:color w:val="000000"/>
            </w:rPr>
            <w:t>Реконструкция файла</w:t>
          </w:r>
          <w:r w:rsidRPr="00666BA4">
            <w:ptab w:relativeTo="margin" w:alignment="right" w:leader="dot"/>
          </w:r>
          <w:r w:rsidRPr="00666BA4">
            <w:t>46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5 ПРОГРАММА И МЕТОДИКА ИСПЫТАНИЙ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47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5.1 </w:t>
          </w:r>
          <w:r w:rsidRPr="00666BA4">
            <w:rPr>
              <w:color w:val="000000"/>
            </w:rPr>
            <w:t>Модульное тестирование</w:t>
          </w:r>
          <w:r w:rsidRPr="00666BA4">
            <w:ptab w:relativeTo="margin" w:alignment="right" w:leader="dot"/>
          </w:r>
          <w:r w:rsidRPr="00666BA4">
            <w:t>47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5.2 </w:t>
          </w:r>
          <w:r w:rsidRPr="00666BA4">
            <w:rPr>
              <w:color w:val="000000"/>
            </w:rPr>
            <w:t>Обработка исключительных ситуаций</w:t>
          </w:r>
          <w:r w:rsidRPr="00666BA4">
            <w:ptab w:relativeTo="margin" w:alignment="right" w:leader="dot"/>
          </w:r>
          <w:r w:rsidRPr="00666BA4">
            <w:t>48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5.3 </w:t>
          </w:r>
          <w:r w:rsidRPr="00666BA4">
            <w:rPr>
              <w:color w:val="000000"/>
            </w:rPr>
            <w:t>Регрессионное тестирование</w:t>
          </w:r>
          <w:r w:rsidRPr="00666BA4">
            <w:ptab w:relativeTo="margin" w:alignment="right" w:leader="dot"/>
          </w:r>
          <w:r w:rsidRPr="00666BA4">
            <w:t>50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6 РУКОВОЛСТВО ПОЛЬЗОВАТЕЛЯ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51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6.1 </w:t>
          </w:r>
          <w:r w:rsidRPr="00666BA4">
            <w:rPr>
              <w:color w:val="000000"/>
            </w:rPr>
            <w:t>Требования к аппаратному и программному обеспечению</w:t>
          </w:r>
          <w:r w:rsidRPr="00666BA4">
            <w:ptab w:relativeTo="margin" w:alignment="right" w:leader="dot"/>
          </w:r>
          <w:r w:rsidRPr="00666BA4">
            <w:t>51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6.2 Установка и настройка сервера приложений </w:t>
          </w:r>
          <w:r w:rsidRPr="00666BA4">
            <w:rPr>
              <w:lang w:val="en-US"/>
            </w:rPr>
            <w:t>IIS</w:t>
          </w:r>
          <w:r w:rsidRPr="00666BA4">
            <w:ptab w:relativeTo="margin" w:alignment="right" w:leader="dot"/>
          </w:r>
          <w:r w:rsidRPr="00666BA4">
            <w:t>51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6.3 </w:t>
          </w:r>
          <w:r w:rsidRPr="00666BA4">
            <w:rPr>
              <w:color w:val="000000"/>
            </w:rPr>
            <w:t xml:space="preserve">Установка </w:t>
          </w:r>
          <w:r w:rsidRPr="00666BA4">
            <w:rPr>
              <w:color w:val="000000"/>
              <w:lang w:val="en-US"/>
            </w:rPr>
            <w:t>SQL</w:t>
          </w:r>
          <w:r w:rsidRPr="00666BA4">
            <w:rPr>
              <w:color w:val="000000"/>
            </w:rPr>
            <w:t xml:space="preserve"> </w:t>
          </w:r>
          <w:r w:rsidRPr="00666BA4">
            <w:rPr>
              <w:color w:val="000000"/>
              <w:lang w:val="en-US"/>
            </w:rPr>
            <w:t>Server</w:t>
          </w:r>
          <w:r w:rsidRPr="00666BA4">
            <w:rPr>
              <w:color w:val="000000"/>
            </w:rPr>
            <w:t xml:space="preserve"> 2008</w:t>
          </w:r>
          <w:r w:rsidRPr="00666BA4">
            <w:ptab w:relativeTo="margin" w:alignment="right" w:leader="dot"/>
          </w:r>
          <w:r w:rsidRPr="00666BA4">
            <w:t>54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6.4 </w:t>
          </w:r>
          <w:r w:rsidRPr="00666BA4">
            <w:rPr>
              <w:color w:val="000000"/>
            </w:rPr>
            <w:t>Графический интерфейс пользователя</w:t>
          </w:r>
          <w:r w:rsidRPr="00666BA4">
            <w:ptab w:relativeTo="margin" w:alignment="right" w:leader="dot"/>
          </w:r>
          <w:r w:rsidRPr="00666BA4">
            <w:t>55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7 ТЕХНИКО-ЭКОНОМИЧЕСКОЕ ОБОСНОВАНИЕ ПРОЕКТА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57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7.1 </w:t>
          </w:r>
          <w:r w:rsidRPr="00666BA4">
            <w:rPr>
              <w:color w:val="000000"/>
            </w:rPr>
            <w:t>Обоснование разрабатываемого программного обеспечения</w:t>
          </w:r>
          <w:r w:rsidRPr="00666BA4">
            <w:ptab w:relativeTo="margin" w:alignment="right" w:leader="dot"/>
          </w:r>
          <w:r w:rsidRPr="00666BA4">
            <w:t>57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7.2 </w:t>
          </w:r>
          <w:r w:rsidRPr="00666BA4">
            <w:rPr>
              <w:color w:val="000000"/>
            </w:rPr>
            <w:t>Экономический эффект у разработчика</w:t>
          </w:r>
          <w:r w:rsidRPr="00666BA4">
            <w:ptab w:relativeTo="margin" w:alignment="right" w:leader="dot"/>
          </w:r>
          <w:r w:rsidRPr="00666BA4">
            <w:t>57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7.2.1 Определение объёма и трудоёмкости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59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7.2.2 Расчёт сметы затрат и цены заказного ПО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60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7.3 </w:t>
          </w:r>
          <w:r w:rsidRPr="00666BA4">
            <w:rPr>
              <w:color w:val="000000"/>
            </w:rPr>
            <w:t>Выводы</w:t>
          </w:r>
          <w:r w:rsidRPr="00666BA4">
            <w:ptab w:relativeTo="margin" w:alignment="right" w:leader="dot"/>
          </w:r>
          <w:r w:rsidRPr="00666BA4">
            <w:t>73</w:t>
          </w:r>
        </w:p>
        <w:p w:rsidR="00666BA4" w:rsidRPr="00666BA4" w:rsidRDefault="00666BA4" w:rsidP="00666BA4">
          <w:pPr>
            <w:pStyle w:val="TOC1"/>
            <w:spacing w:line="20" w:lineRule="atLeast"/>
            <w:rPr>
              <w:lang w:val="ru-RU"/>
            </w:rPr>
          </w:pPr>
          <w:r w:rsidRPr="00666BA4">
            <w:rPr>
              <w:lang w:val="ru-RU"/>
            </w:rPr>
            <w:t>8 ОХРАНА ТРУДА. ПРОФИЛАКТИКА ПЕРЕУТОМЛЕНИЯ РАБОТНИКОВ, ЗАНЯТЫХ РЕШЕНИЕМ ЗАДАЧ ПО СОСТАВЛЕНИЮ ПРОГРАММ</w:t>
          </w:r>
          <w:r w:rsidRPr="00666BA4">
            <w:ptab w:relativeTo="margin" w:alignment="right" w:leader="dot"/>
          </w:r>
          <w:r w:rsidRPr="00666BA4">
            <w:rPr>
              <w:lang w:val="ru-RU"/>
            </w:rPr>
            <w:t>74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8.1 </w:t>
          </w:r>
          <w:r w:rsidRPr="00666BA4">
            <w:rPr>
              <w:color w:val="000000"/>
            </w:rPr>
            <w:t>Понятие работоспособности и утомления</w:t>
          </w:r>
          <w:r w:rsidRPr="00666BA4">
            <w:ptab w:relativeTo="margin" w:alignment="right" w:leader="dot"/>
          </w:r>
          <w:r w:rsidRPr="00666BA4">
            <w:t>74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 xml:space="preserve">8.2 </w:t>
          </w:r>
          <w:r w:rsidRPr="00666BA4">
            <w:rPr>
              <w:color w:val="000000"/>
            </w:rPr>
            <w:t>Основные пути снижения утомления программистов</w:t>
          </w:r>
          <w:r w:rsidRPr="00666BA4">
            <w:ptab w:relativeTo="margin" w:alignment="right" w:leader="dot"/>
          </w:r>
          <w:r w:rsidRPr="00666BA4">
            <w:t>75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8.2.1 Окраска и коэффициент отражения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75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8.2.2 Освещение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76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8.2.3 Параметры микроклимата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77</w:t>
          </w:r>
        </w:p>
        <w:p w:rsidR="00666BA4" w:rsidRPr="00666BA4" w:rsidRDefault="00666BA4" w:rsidP="00666BA4">
          <w:pPr>
            <w:pStyle w:val="TOC3"/>
            <w:spacing w:line="20" w:lineRule="atLeast"/>
            <w:rPr>
              <w:rFonts w:ascii="Times New Roman" w:hAnsi="Times New Roman" w:cs="Times New Roman"/>
              <w:lang w:val="ru-RU"/>
            </w:rPr>
          </w:pPr>
          <w:r w:rsidRPr="00666BA4">
            <w:rPr>
              <w:rFonts w:ascii="Times New Roman" w:hAnsi="Times New Roman" w:cs="Times New Roman"/>
              <w:lang w:val="ru-RU"/>
            </w:rPr>
            <w:t>8.2.4 Шум и вибрация</w:t>
          </w:r>
          <w:r w:rsidRPr="00666BA4">
            <w:rPr>
              <w:rFonts w:ascii="Times New Roman" w:hAnsi="Times New Roman" w:cs="Times New Roman"/>
            </w:rPr>
            <w:ptab w:relativeTo="margin" w:alignment="right" w:leader="dot"/>
          </w:r>
          <w:r w:rsidRPr="00666BA4">
            <w:rPr>
              <w:rFonts w:ascii="Times New Roman" w:hAnsi="Times New Roman" w:cs="Times New Roman"/>
              <w:lang w:val="ru-RU"/>
            </w:rPr>
            <w:t>77</w:t>
          </w:r>
        </w:p>
        <w:p w:rsidR="00666BA4" w:rsidRPr="00666BA4" w:rsidRDefault="00666BA4" w:rsidP="00666BA4">
          <w:pPr>
            <w:pStyle w:val="TOC2"/>
            <w:spacing w:line="20" w:lineRule="atLeast"/>
          </w:pPr>
          <w:r w:rsidRPr="00666BA4">
            <w:t>8.3 Эргономические требования к рабочему месту</w:t>
          </w:r>
          <w:r w:rsidRPr="00666BA4">
            <w:ptab w:relativeTo="margin" w:alignment="right" w:leader="dot"/>
          </w:r>
          <w:r w:rsidRPr="00666BA4">
            <w:t>78</w:t>
          </w:r>
        </w:p>
        <w:p w:rsidR="00666BA4" w:rsidRPr="00666BA4" w:rsidRDefault="00666BA4" w:rsidP="00666BA4">
          <w:pPr>
            <w:pStyle w:val="TOC2"/>
            <w:spacing w:line="20" w:lineRule="atLeast"/>
            <w:rPr>
              <w:lang w:val="en-US"/>
            </w:rPr>
          </w:pPr>
          <w:r w:rsidRPr="00666BA4">
            <w:lastRenderedPageBreak/>
            <w:t>8.4 Выводы</w:t>
          </w:r>
          <w:r w:rsidRPr="00666BA4">
            <w:ptab w:relativeTo="margin" w:alignment="right" w:leader="dot"/>
          </w:r>
          <w:r w:rsidRPr="00666BA4">
            <w:t>8</w:t>
          </w:r>
          <w:r w:rsidRPr="00666BA4">
            <w:rPr>
              <w:lang w:val="en-US"/>
            </w:rPr>
            <w:t>1</w:t>
          </w:r>
        </w:p>
        <w:p w:rsidR="00666BA4" w:rsidRPr="00666BA4" w:rsidRDefault="00666BA4" w:rsidP="00666BA4">
          <w:pPr>
            <w:pStyle w:val="TOC1"/>
            <w:spacing w:line="20" w:lineRule="atLeast"/>
          </w:pPr>
          <w:r w:rsidRPr="00666BA4">
            <w:t>ЗАКЛЮЧЕНИЕ</w:t>
          </w:r>
          <w:r w:rsidRPr="00666BA4">
            <w:ptab w:relativeTo="margin" w:alignment="right" w:leader="dot"/>
          </w:r>
          <w:r w:rsidRPr="00666BA4">
            <w:t>82</w:t>
          </w:r>
        </w:p>
        <w:p w:rsidR="00666BA4" w:rsidRPr="00666BA4" w:rsidRDefault="00666BA4" w:rsidP="00666BA4">
          <w:pPr>
            <w:pStyle w:val="TOC1"/>
            <w:spacing w:line="20" w:lineRule="atLeast"/>
          </w:pPr>
          <w:r w:rsidRPr="00666BA4">
            <w:t>СПИСОК ЛИТЕРАТУРЫ</w:t>
          </w:r>
          <w:r w:rsidRPr="00666BA4">
            <w:ptab w:relativeTo="margin" w:alignment="right" w:leader="dot"/>
          </w:r>
          <w:r w:rsidRPr="00666BA4">
            <w:t>83</w:t>
          </w:r>
        </w:p>
        <w:p w:rsidR="00666BA4" w:rsidRPr="001F50F9" w:rsidRDefault="00666BA4" w:rsidP="00666BA4">
          <w:pPr>
            <w:pStyle w:val="TOC2"/>
            <w:spacing w:line="20" w:lineRule="atLeast"/>
            <w:ind w:left="0"/>
          </w:pPr>
        </w:p>
      </w:sdtContent>
    </w:sdt>
    <w:p w:rsidR="00666BA4" w:rsidRDefault="00666BA4" w:rsidP="00666BA4">
      <w:pPr>
        <w:pStyle w:val="a"/>
        <w:spacing w:line="20" w:lineRule="atLeast"/>
        <w:jc w:val="center"/>
      </w:pPr>
    </w:p>
    <w:p w:rsidR="004B2B5F" w:rsidRPr="00666BA4" w:rsidRDefault="004B2B5F" w:rsidP="00666BA4">
      <w:pPr>
        <w:spacing w:after="0" w:line="20" w:lineRule="atLeast"/>
        <w:rPr>
          <w:rFonts w:eastAsiaTheme="majorEastAsia"/>
          <w:szCs w:val="28"/>
        </w:rPr>
      </w:pPr>
    </w:p>
    <w:sectPr w:rsidR="004B2B5F" w:rsidRPr="0066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EE"/>
    <w:rsid w:val="00016927"/>
    <w:rsid w:val="00026190"/>
    <w:rsid w:val="0003211A"/>
    <w:rsid w:val="000345B9"/>
    <w:rsid w:val="00041E13"/>
    <w:rsid w:val="00053343"/>
    <w:rsid w:val="0005381A"/>
    <w:rsid w:val="00057678"/>
    <w:rsid w:val="00064576"/>
    <w:rsid w:val="000673C4"/>
    <w:rsid w:val="00071A7C"/>
    <w:rsid w:val="000738AE"/>
    <w:rsid w:val="000767C0"/>
    <w:rsid w:val="000806F9"/>
    <w:rsid w:val="00086891"/>
    <w:rsid w:val="0009640D"/>
    <w:rsid w:val="000A21F0"/>
    <w:rsid w:val="000A33F8"/>
    <w:rsid w:val="000A73F4"/>
    <w:rsid w:val="000B73B1"/>
    <w:rsid w:val="000B7BB2"/>
    <w:rsid w:val="000D3306"/>
    <w:rsid w:val="000D4656"/>
    <w:rsid w:val="000E1A93"/>
    <w:rsid w:val="000F1B35"/>
    <w:rsid w:val="000F46BF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61E53"/>
    <w:rsid w:val="00163BE9"/>
    <w:rsid w:val="001714B5"/>
    <w:rsid w:val="00173E8C"/>
    <w:rsid w:val="00177734"/>
    <w:rsid w:val="00177AC7"/>
    <w:rsid w:val="0018662A"/>
    <w:rsid w:val="001915AB"/>
    <w:rsid w:val="0019520E"/>
    <w:rsid w:val="00195665"/>
    <w:rsid w:val="001A3889"/>
    <w:rsid w:val="001A4BF3"/>
    <w:rsid w:val="001A4E57"/>
    <w:rsid w:val="001A527B"/>
    <w:rsid w:val="001A597A"/>
    <w:rsid w:val="001A59BB"/>
    <w:rsid w:val="001A6344"/>
    <w:rsid w:val="001B1072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2CDD"/>
    <w:rsid w:val="00224926"/>
    <w:rsid w:val="0022647B"/>
    <w:rsid w:val="00242D1F"/>
    <w:rsid w:val="0026469D"/>
    <w:rsid w:val="002719B8"/>
    <w:rsid w:val="00272B64"/>
    <w:rsid w:val="00296C27"/>
    <w:rsid w:val="00296F87"/>
    <w:rsid w:val="002A1DA8"/>
    <w:rsid w:val="002B55E3"/>
    <w:rsid w:val="002B60F6"/>
    <w:rsid w:val="002C03AC"/>
    <w:rsid w:val="002C40BE"/>
    <w:rsid w:val="002C7B1C"/>
    <w:rsid w:val="002D03A6"/>
    <w:rsid w:val="002D762E"/>
    <w:rsid w:val="002E69D9"/>
    <w:rsid w:val="002F01C3"/>
    <w:rsid w:val="002F280D"/>
    <w:rsid w:val="002F4D7C"/>
    <w:rsid w:val="002F64A8"/>
    <w:rsid w:val="00316EA5"/>
    <w:rsid w:val="00323D77"/>
    <w:rsid w:val="00324137"/>
    <w:rsid w:val="00336400"/>
    <w:rsid w:val="00336428"/>
    <w:rsid w:val="00346981"/>
    <w:rsid w:val="00346A81"/>
    <w:rsid w:val="00355835"/>
    <w:rsid w:val="0036742D"/>
    <w:rsid w:val="003772ED"/>
    <w:rsid w:val="00381807"/>
    <w:rsid w:val="00386B14"/>
    <w:rsid w:val="00387A67"/>
    <w:rsid w:val="00390BAC"/>
    <w:rsid w:val="0039112F"/>
    <w:rsid w:val="003A699E"/>
    <w:rsid w:val="003B17AF"/>
    <w:rsid w:val="003B3AA8"/>
    <w:rsid w:val="003B7193"/>
    <w:rsid w:val="003C3BBC"/>
    <w:rsid w:val="003C6C6E"/>
    <w:rsid w:val="003F0C76"/>
    <w:rsid w:val="003F2D1B"/>
    <w:rsid w:val="00403811"/>
    <w:rsid w:val="00412C79"/>
    <w:rsid w:val="00414289"/>
    <w:rsid w:val="00433794"/>
    <w:rsid w:val="004429DE"/>
    <w:rsid w:val="0044441A"/>
    <w:rsid w:val="004462B4"/>
    <w:rsid w:val="00447E73"/>
    <w:rsid w:val="0045375D"/>
    <w:rsid w:val="00454FAC"/>
    <w:rsid w:val="00462DF6"/>
    <w:rsid w:val="00464226"/>
    <w:rsid w:val="00464F76"/>
    <w:rsid w:val="00466451"/>
    <w:rsid w:val="00472317"/>
    <w:rsid w:val="00482C47"/>
    <w:rsid w:val="00485F07"/>
    <w:rsid w:val="004925D0"/>
    <w:rsid w:val="00495720"/>
    <w:rsid w:val="004A36BC"/>
    <w:rsid w:val="004A487C"/>
    <w:rsid w:val="004A7BD9"/>
    <w:rsid w:val="004B0000"/>
    <w:rsid w:val="004B0830"/>
    <w:rsid w:val="004B1FC1"/>
    <w:rsid w:val="004B2B5F"/>
    <w:rsid w:val="004B6C0B"/>
    <w:rsid w:val="004B7B71"/>
    <w:rsid w:val="004C4B3B"/>
    <w:rsid w:val="004C5451"/>
    <w:rsid w:val="004D1188"/>
    <w:rsid w:val="004D6FAE"/>
    <w:rsid w:val="004F7BD2"/>
    <w:rsid w:val="0050039E"/>
    <w:rsid w:val="005019B4"/>
    <w:rsid w:val="00510CC0"/>
    <w:rsid w:val="00513E5B"/>
    <w:rsid w:val="00517737"/>
    <w:rsid w:val="005226A2"/>
    <w:rsid w:val="00522A36"/>
    <w:rsid w:val="00523223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80C98"/>
    <w:rsid w:val="00581934"/>
    <w:rsid w:val="00581E87"/>
    <w:rsid w:val="005834F3"/>
    <w:rsid w:val="00585C61"/>
    <w:rsid w:val="005964D4"/>
    <w:rsid w:val="005969F2"/>
    <w:rsid w:val="005A0A33"/>
    <w:rsid w:val="005A29F3"/>
    <w:rsid w:val="005A3376"/>
    <w:rsid w:val="005A3D43"/>
    <w:rsid w:val="005A4F5C"/>
    <w:rsid w:val="005B05D1"/>
    <w:rsid w:val="005D0311"/>
    <w:rsid w:val="005D7925"/>
    <w:rsid w:val="005E2313"/>
    <w:rsid w:val="005F5627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7A5"/>
    <w:rsid w:val="006553C4"/>
    <w:rsid w:val="00666BA4"/>
    <w:rsid w:val="00674919"/>
    <w:rsid w:val="00680F6E"/>
    <w:rsid w:val="00685174"/>
    <w:rsid w:val="0068663C"/>
    <w:rsid w:val="006937B6"/>
    <w:rsid w:val="00696B40"/>
    <w:rsid w:val="006A2B5C"/>
    <w:rsid w:val="006A3C46"/>
    <w:rsid w:val="006B20BA"/>
    <w:rsid w:val="006B30B0"/>
    <w:rsid w:val="006B31D5"/>
    <w:rsid w:val="006B328D"/>
    <w:rsid w:val="006C1A15"/>
    <w:rsid w:val="006E0B64"/>
    <w:rsid w:val="006F2901"/>
    <w:rsid w:val="006F44FA"/>
    <w:rsid w:val="006F6951"/>
    <w:rsid w:val="007024ED"/>
    <w:rsid w:val="00716E80"/>
    <w:rsid w:val="00731E56"/>
    <w:rsid w:val="00733A9A"/>
    <w:rsid w:val="007341DD"/>
    <w:rsid w:val="00734947"/>
    <w:rsid w:val="00740B30"/>
    <w:rsid w:val="00746DC5"/>
    <w:rsid w:val="007477E9"/>
    <w:rsid w:val="007505A8"/>
    <w:rsid w:val="0075280C"/>
    <w:rsid w:val="00756E91"/>
    <w:rsid w:val="00784C9E"/>
    <w:rsid w:val="007954AA"/>
    <w:rsid w:val="007B1296"/>
    <w:rsid w:val="007B5F58"/>
    <w:rsid w:val="007C617D"/>
    <w:rsid w:val="007D4695"/>
    <w:rsid w:val="007E39D1"/>
    <w:rsid w:val="007E44C7"/>
    <w:rsid w:val="007E53D8"/>
    <w:rsid w:val="007E7857"/>
    <w:rsid w:val="007F38B7"/>
    <w:rsid w:val="008121EB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7847"/>
    <w:rsid w:val="00847636"/>
    <w:rsid w:val="0085396F"/>
    <w:rsid w:val="00855B65"/>
    <w:rsid w:val="0086237B"/>
    <w:rsid w:val="00866AC3"/>
    <w:rsid w:val="008732D8"/>
    <w:rsid w:val="008841DB"/>
    <w:rsid w:val="00886584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6E23"/>
    <w:rsid w:val="008D1039"/>
    <w:rsid w:val="008D4454"/>
    <w:rsid w:val="008D44A1"/>
    <w:rsid w:val="008D4A60"/>
    <w:rsid w:val="008E1A98"/>
    <w:rsid w:val="008E1FB8"/>
    <w:rsid w:val="008F1129"/>
    <w:rsid w:val="009011ED"/>
    <w:rsid w:val="00901500"/>
    <w:rsid w:val="0090490C"/>
    <w:rsid w:val="00921433"/>
    <w:rsid w:val="00923C67"/>
    <w:rsid w:val="00925904"/>
    <w:rsid w:val="00932047"/>
    <w:rsid w:val="00936CBF"/>
    <w:rsid w:val="00942B6D"/>
    <w:rsid w:val="0095158C"/>
    <w:rsid w:val="00952214"/>
    <w:rsid w:val="00954474"/>
    <w:rsid w:val="009601DC"/>
    <w:rsid w:val="00964CD7"/>
    <w:rsid w:val="00970078"/>
    <w:rsid w:val="00970316"/>
    <w:rsid w:val="0097051A"/>
    <w:rsid w:val="00974E9C"/>
    <w:rsid w:val="009752FC"/>
    <w:rsid w:val="00984711"/>
    <w:rsid w:val="0099475A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394F"/>
    <w:rsid w:val="00A03B64"/>
    <w:rsid w:val="00A03F9B"/>
    <w:rsid w:val="00A07A18"/>
    <w:rsid w:val="00A1117C"/>
    <w:rsid w:val="00A118E9"/>
    <w:rsid w:val="00A15474"/>
    <w:rsid w:val="00A2310F"/>
    <w:rsid w:val="00A40BD0"/>
    <w:rsid w:val="00A549F5"/>
    <w:rsid w:val="00A63595"/>
    <w:rsid w:val="00A636AC"/>
    <w:rsid w:val="00A65D0D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90EFF"/>
    <w:rsid w:val="00B9171C"/>
    <w:rsid w:val="00B94486"/>
    <w:rsid w:val="00B95AAE"/>
    <w:rsid w:val="00BA1A76"/>
    <w:rsid w:val="00BA67BF"/>
    <w:rsid w:val="00BB1060"/>
    <w:rsid w:val="00BC06BA"/>
    <w:rsid w:val="00BD4FC4"/>
    <w:rsid w:val="00BE4F4C"/>
    <w:rsid w:val="00BE51D5"/>
    <w:rsid w:val="00BF04A3"/>
    <w:rsid w:val="00BF4E13"/>
    <w:rsid w:val="00BF56C6"/>
    <w:rsid w:val="00C00C17"/>
    <w:rsid w:val="00C0307D"/>
    <w:rsid w:val="00C03D4F"/>
    <w:rsid w:val="00C10037"/>
    <w:rsid w:val="00C1237D"/>
    <w:rsid w:val="00C14DF9"/>
    <w:rsid w:val="00C15A7F"/>
    <w:rsid w:val="00C16559"/>
    <w:rsid w:val="00C17B21"/>
    <w:rsid w:val="00C213D3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84DE4"/>
    <w:rsid w:val="00C87AED"/>
    <w:rsid w:val="00C90B93"/>
    <w:rsid w:val="00C959AD"/>
    <w:rsid w:val="00C97246"/>
    <w:rsid w:val="00C97918"/>
    <w:rsid w:val="00CA2EF7"/>
    <w:rsid w:val="00CC30E5"/>
    <w:rsid w:val="00CC4157"/>
    <w:rsid w:val="00CC792E"/>
    <w:rsid w:val="00CE0732"/>
    <w:rsid w:val="00CE5014"/>
    <w:rsid w:val="00CE7E38"/>
    <w:rsid w:val="00CF4A72"/>
    <w:rsid w:val="00CF6775"/>
    <w:rsid w:val="00D01D0F"/>
    <w:rsid w:val="00D03CCD"/>
    <w:rsid w:val="00D03DD9"/>
    <w:rsid w:val="00D0706F"/>
    <w:rsid w:val="00D224BA"/>
    <w:rsid w:val="00D237F9"/>
    <w:rsid w:val="00D27478"/>
    <w:rsid w:val="00D36746"/>
    <w:rsid w:val="00D46784"/>
    <w:rsid w:val="00D51146"/>
    <w:rsid w:val="00D56322"/>
    <w:rsid w:val="00D60440"/>
    <w:rsid w:val="00D71474"/>
    <w:rsid w:val="00D742AB"/>
    <w:rsid w:val="00D77BFA"/>
    <w:rsid w:val="00D82668"/>
    <w:rsid w:val="00D83863"/>
    <w:rsid w:val="00D85538"/>
    <w:rsid w:val="00D942B0"/>
    <w:rsid w:val="00D94EBD"/>
    <w:rsid w:val="00D95B30"/>
    <w:rsid w:val="00DA2421"/>
    <w:rsid w:val="00DA4162"/>
    <w:rsid w:val="00DB7012"/>
    <w:rsid w:val="00DC5B7C"/>
    <w:rsid w:val="00DD1B46"/>
    <w:rsid w:val="00DD54D6"/>
    <w:rsid w:val="00DE19BD"/>
    <w:rsid w:val="00DE1A71"/>
    <w:rsid w:val="00DF250A"/>
    <w:rsid w:val="00DF44CB"/>
    <w:rsid w:val="00DF59C6"/>
    <w:rsid w:val="00DF6884"/>
    <w:rsid w:val="00E005F1"/>
    <w:rsid w:val="00E030F4"/>
    <w:rsid w:val="00E0441A"/>
    <w:rsid w:val="00E054B9"/>
    <w:rsid w:val="00E0671A"/>
    <w:rsid w:val="00E06DE1"/>
    <w:rsid w:val="00E1155A"/>
    <w:rsid w:val="00E14031"/>
    <w:rsid w:val="00E14BE9"/>
    <w:rsid w:val="00E2210D"/>
    <w:rsid w:val="00E2445C"/>
    <w:rsid w:val="00E33D8B"/>
    <w:rsid w:val="00E4240A"/>
    <w:rsid w:val="00E42B25"/>
    <w:rsid w:val="00E577A0"/>
    <w:rsid w:val="00E62E41"/>
    <w:rsid w:val="00E70854"/>
    <w:rsid w:val="00E849C2"/>
    <w:rsid w:val="00E84BEE"/>
    <w:rsid w:val="00E94368"/>
    <w:rsid w:val="00EA55EE"/>
    <w:rsid w:val="00EB37DC"/>
    <w:rsid w:val="00EB4C58"/>
    <w:rsid w:val="00ED2FD7"/>
    <w:rsid w:val="00ED3548"/>
    <w:rsid w:val="00EE1EA5"/>
    <w:rsid w:val="00EE3504"/>
    <w:rsid w:val="00EF5D3C"/>
    <w:rsid w:val="00F02343"/>
    <w:rsid w:val="00F03C42"/>
    <w:rsid w:val="00F13E22"/>
    <w:rsid w:val="00F1461F"/>
    <w:rsid w:val="00F22E5C"/>
    <w:rsid w:val="00F252DA"/>
    <w:rsid w:val="00F261C9"/>
    <w:rsid w:val="00F34AB8"/>
    <w:rsid w:val="00F61AEB"/>
    <w:rsid w:val="00F64D0E"/>
    <w:rsid w:val="00F6759D"/>
    <w:rsid w:val="00F711C7"/>
    <w:rsid w:val="00F72B21"/>
    <w:rsid w:val="00F764E1"/>
    <w:rsid w:val="00F8156A"/>
    <w:rsid w:val="00F81771"/>
    <w:rsid w:val="00F838C5"/>
    <w:rsid w:val="00F90B6E"/>
    <w:rsid w:val="00FA009C"/>
    <w:rsid w:val="00FA0116"/>
    <w:rsid w:val="00FA3323"/>
    <w:rsid w:val="00FA4643"/>
    <w:rsid w:val="00FB2C7D"/>
    <w:rsid w:val="00FC3FE3"/>
    <w:rsid w:val="00FD6A50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027DB-01DC-414C-B9F1-5BB830F1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13"/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1E13"/>
    <w:pPr>
      <w:widowControl w:val="0"/>
      <w:tabs>
        <w:tab w:val="right" w:leader="dot" w:pos="9344"/>
      </w:tabs>
      <w:spacing w:after="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41E13"/>
    <w:pPr>
      <w:tabs>
        <w:tab w:val="right" w:leader="dot" w:pos="9344"/>
      </w:tabs>
      <w:spacing w:after="0"/>
      <w:ind w:left="284"/>
    </w:pPr>
    <w:rPr>
      <w:szCs w:val="28"/>
      <w:lang w:val="be-BY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1E13"/>
    <w:pPr>
      <w:tabs>
        <w:tab w:val="right" w:leader="dot" w:pos="9344"/>
      </w:tabs>
      <w:spacing w:after="0"/>
      <w:ind w:left="440" w:firstLine="269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6B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BA4"/>
    <w:pPr>
      <w:outlineLvl w:val="9"/>
    </w:pPr>
  </w:style>
  <w:style w:type="paragraph" w:customStyle="1" w:styleId="a">
    <w:name w:val="Заголовок раздела"/>
    <w:qFormat/>
    <w:rsid w:val="00666BA4"/>
    <w:pPr>
      <w:spacing w:after="0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Artur Alenski</cp:lastModifiedBy>
  <cp:revision>10</cp:revision>
  <cp:lastPrinted>2015-03-25T11:32:00Z</cp:lastPrinted>
  <dcterms:created xsi:type="dcterms:W3CDTF">2013-06-06T05:57:00Z</dcterms:created>
  <dcterms:modified xsi:type="dcterms:W3CDTF">2015-05-29T05:55:00Z</dcterms:modified>
</cp:coreProperties>
</file>