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2"/>
          <w:szCs w:val="32"/>
        </w:rPr>
        <w:t xml:space="preserve">РЕГЛАМЕНТ проценки по группам брендов</w:t>
      </w:r>
    </w:p>
    <w:p>
      <w:pPr>
        <w:spacing w:before="280" w:after="80"/>
      </w:pPr>
      <w:r>
        <w:rPr>
          <w:b/>
          <w:sz w:val="24"/>
          <w:szCs w:val="24"/>
        </w:rPr>
        <w:t xml:space="preserve">1. Назначение и область применения</w:t>
      </w:r>
    </w:p>
    <w:p>
      <w:pPr>
        <w:spacing w:after="80"/>
        <w:ind w:firstLine="0"/>
      </w:pPr>
      <w:r>
        <w:rPr>
          <w:sz w:val="22"/>
          <w:szCs w:val="22"/>
        </w:rPr>
        <w:t xml:space="preserve">Настоящий регламент определяет порядок регулярной проценки товаров марок ADVICS, AVANTECH, DOUBLE FORCE, NITTO и SUN относительно брендов-конкурентов.</w:t>
      </w:r>
    </w:p>
    <w:p>
      <w:pPr>
        <w:spacing w:after="80"/>
        <w:ind w:firstLine="0"/>
      </w:pPr>
      <w:r>
        <w:rPr>
          <w:sz w:val="22"/>
          <w:szCs w:val="22"/>
        </w:rPr>
        <w:t xml:space="preserve">Цель проценки — проверить, соответствует ли фактическая цена категории «А» целевому позиционированию подгруппы, и по позициям вне коридора принять решение об изменении цены.</w:t>
      </w:r>
    </w:p>
    <w:p>
      <w:pPr>
        <w:spacing w:after="80"/>
        <w:ind w:firstLine="0"/>
      </w:pPr>
      <w:r>
        <w:rPr>
          <w:sz w:val="22"/>
          <w:szCs w:val="22"/>
        </w:rPr>
        <w:t xml:space="preserve">Результат по каждой контролируемой паре: фактическое отклонение и один из выводов — «в коридоре», «дороже коридора», «дешевле коридора». Если цены конкурента нет, вывод — «нет цен для анализа». Позиции вне коридора передаются на пересмотр цен.</w:t>
      </w:r>
    </w:p>
    <w:p>
      <w:pPr>
        <w:spacing w:after="80"/>
        <w:ind w:firstLine="0"/>
      </w:pPr>
      <w:r>
        <w:rPr>
          <w:sz w:val="22"/>
          <w:szCs w:val="22"/>
        </w:rPr>
        <w:t xml:space="preserve">На регулярной основе в первую очередь проценяются шесть целевых групп: ADVICS — тормозные диски и тормозные колодки; AVANTECH — тормозные диски и тормозные колодки; AVANTECH и DOUBLE FORCE — фильтры автомобильные. Остальной ассортимент этих марок проценяется в сроки раздела 2.</w:t>
      </w:r>
    </w:p>
    <w:p>
      <w:pPr>
        <w:spacing w:before="280" w:after="80"/>
      </w:pPr>
      <w:r>
        <w:rPr>
          <w:b/>
          <w:sz w:val="24"/>
          <w:szCs w:val="24"/>
        </w:rPr>
        <w:t xml:space="preserve">2. Сроки</w:t>
      </w:r>
    </w:p>
    <w:p>
      <w:pPr>
        <w:spacing w:after="80"/>
        <w:ind w:firstLine="0"/>
      </w:pPr>
      <w:r>
        <w:rPr>
          <w:sz w:val="22"/>
          <w:szCs w:val="22"/>
        </w:rPr>
        <w:t xml:space="preserve">Объект проценки — периодичность — срок выполнения.</w:t>
      </w:r>
    </w:p>
    <w:p>
      <w:pPr>
        <w:spacing w:after="80"/>
        <w:ind w:firstLine="0"/>
      </w:pPr>
      <w:r>
        <w:rPr>
          <w:sz w:val="22"/>
          <w:szCs w:val="22"/>
        </w:rPr>
        <w:t xml:space="preserve">Целевые товарные группы — еженедельно — каждый понедельник. При переносе — первый рабочий день недели.</w:t>
      </w:r>
    </w:p>
    <w:p>
      <w:pPr>
        <w:spacing w:after="80"/>
        <w:ind w:firstLine="0"/>
      </w:pPr>
      <w:r>
        <w:rPr>
          <w:sz w:val="22"/>
          <w:szCs w:val="22"/>
        </w:rPr>
        <w:t xml:space="preserve">Распродажа и оверсток по целевым группам — еженедельно — каждый понедельник. При переносе — первый рабочий день недели.</w:t>
      </w:r>
    </w:p>
    <w:p>
      <w:pPr>
        <w:spacing w:after="80"/>
        <w:ind w:firstLine="0"/>
      </w:pPr>
      <w:r>
        <w:rPr>
          <w:sz w:val="22"/>
          <w:szCs w:val="22"/>
        </w:rPr>
        <w:t xml:space="preserve">Мелкие группы категории «А» — ежемесячно — первая рабочая неделя месяца.</w:t>
      </w:r>
    </w:p>
    <w:p>
      <w:pPr>
        <w:spacing w:after="80"/>
        <w:ind w:firstLine="0"/>
      </w:pPr>
      <w:r>
        <w:rPr>
          <w:sz w:val="22"/>
          <w:szCs w:val="22"/>
        </w:rPr>
        <w:t xml:space="preserve">Группы «B» и «C» всего ассортимента — ежеквартально — первый месяц квартала.</w:t>
      </w:r>
    </w:p>
    <w:p>
      <w:pPr>
        <w:spacing w:after="80"/>
        <w:ind w:firstLine="0"/>
      </w:pPr>
      <w:r>
        <w:rPr>
          <w:sz w:val="22"/>
          <w:szCs w:val="22"/>
        </w:rPr>
        <w:t xml:space="preserve">Свод для руководства сдаётся в тот же срок, что и сама проценка соответствующего объекта.</w:t>
      </w:r>
    </w:p>
    <w:p>
      <w:pPr>
        <w:spacing w:before="280" w:after="80"/>
      </w:pPr>
      <w:r>
        <w:rPr>
          <w:b/>
          <w:sz w:val="24"/>
          <w:szCs w:val="24"/>
        </w:rPr>
        <w:t xml:space="preserve">3. Источники</w:t>
      </w:r>
    </w:p>
    <w:p>
      <w:pPr>
        <w:spacing w:after="80"/>
        <w:ind w:firstLine="0"/>
      </w:pPr>
      <w:r>
        <w:rPr>
          <w:sz w:val="22"/>
          <w:szCs w:val="22"/>
        </w:rPr>
        <w:t xml:space="preserve">3.1. Файл «Позиционирование». Строка: категория — группа — подгруппа — торговая марка — бренды-конкуренты по порядку и целевой процент отклонения каждого. Отдельным листом задано, у каких поставщиков мониторить цену каждого бренда-конкурента. Группа без конкурента в этом файле в проценку не включается.</w:t>
      </w:r>
    </w:p>
    <w:p>
      <w:pPr>
        <w:spacing w:after="80"/>
        <w:ind w:firstLine="0"/>
      </w:pPr>
      <w:r>
        <w:rPr>
          <w:sz w:val="22"/>
          <w:szCs w:val="22"/>
        </w:rPr>
        <w:t xml:space="preserve">3.2. Выгрузки 1С, собираемые вручную на дату проценки:</w:t>
      </w:r>
    </w:p>
    <w:p>
      <w:pPr>
        <w:spacing w:after="80"/>
        <w:ind w:firstLine="0"/>
      </w:pPr>
      <w:r>
        <w:rPr>
          <w:sz w:val="22"/>
          <w:szCs w:val="22"/>
        </w:rPr>
        <w:t xml:space="preserve">ПСТ — артикул, группа, подгруппа, категория, группа заказа, разновидность, закупка и валюта, МО, ABC, тип ассортимента, оверсток, вывод из ассортимента.</w:t>
      </w:r>
    </w:p>
    <w:p>
      <w:pPr>
        <w:spacing w:after="80"/>
        <w:ind w:firstLine="0"/>
      </w:pPr>
      <w:r>
        <w:rPr>
          <w:sz w:val="22"/>
          <w:szCs w:val="22"/>
        </w:rPr>
        <w:t xml:space="preserve">Продажи — количество и сумма за период, указанный в шапке отчёта. Для фильтрации отклонений берётся год.</w:t>
      </w:r>
    </w:p>
    <w:p>
      <w:pPr>
        <w:spacing w:after="80"/>
        <w:ind w:firstLine="0"/>
      </w:pPr>
      <w:r>
        <w:rPr>
          <w:sz w:val="22"/>
          <w:szCs w:val="22"/>
        </w:rPr>
        <w:t xml:space="preserve">СБС — остаток и себестоимость. Себестоимость одной штуки — себестоимость, делённая на количество.</w:t>
      </w:r>
    </w:p>
    <w:p>
      <w:pPr>
        <w:spacing w:after="80"/>
        <w:ind w:firstLine="0"/>
      </w:pPr>
      <w:r>
        <w:rPr>
          <w:sz w:val="22"/>
          <w:szCs w:val="22"/>
        </w:rPr>
        <w:t xml:space="preserve">Товар в пути — заказано, штук, итог по артикулу. Потенциал позиции = остаток + товар в пути.</w:t>
      </w:r>
    </w:p>
    <w:p>
      <w:pPr>
        <w:spacing w:after="80"/>
        <w:ind w:firstLine="0"/>
      </w:pPr>
      <w:r>
        <w:rPr>
          <w:sz w:val="22"/>
          <w:szCs w:val="22"/>
        </w:rPr>
        <w:t xml:space="preserve">«Расчет цен КД» — основной источник регулярной проценки: целевые и рассчитанные цены по правилам ценообразования и матрице позиционирования.</w:t>
      </w:r>
    </w:p>
    <w:p>
      <w:pPr>
        <w:spacing w:after="80"/>
        <w:ind w:firstLine="0"/>
      </w:pPr>
      <w:r>
        <w:rPr>
          <w:sz w:val="22"/>
          <w:szCs w:val="22"/>
        </w:rPr>
        <w:t xml:space="preserve">«Анализ цен поставщиков КД» — СБС, МО, кат. А, остаток и цены поставщиков. Нужен для проверки позиций, которых нет в «Расчет цен КД».</w:t>
      </w:r>
    </w:p>
    <w:p>
      <w:pPr>
        <w:spacing w:after="80"/>
        <w:ind w:firstLine="0"/>
      </w:pPr>
      <w:r>
        <w:rPr>
          <w:sz w:val="22"/>
          <w:szCs w:val="22"/>
        </w:rPr>
        <w:t xml:space="preserve">3.3. Кроссы. Из базы кроссов берутся только строки с признаком «Использовать для сравнения цен» = «Да». Строки «Нет» в проценку не включаются и не добираются.</w:t>
      </w:r>
    </w:p>
    <w:p>
      <w:pPr>
        <w:spacing w:after="80"/>
        <w:ind w:firstLine="0"/>
      </w:pPr>
      <w:r>
        <w:rPr>
          <w:sz w:val="22"/>
          <w:szCs w:val="22"/>
        </w:rPr>
        <w:t xml:space="preserve">3.4. Прайс-листы брендов-конкурентов (TISS, Rossko, MXGroup и другие поставщики из листа мониторинга). В расчёт проценки берётся прайс последней даты. Если по бренду в листе мониторинга указаны поставщики, цена берётся только у них.</w:t>
      </w:r>
    </w:p>
    <w:p>
      <w:pPr>
        <w:spacing w:after="80"/>
        <w:ind w:firstLine="0"/>
      </w:pPr>
      <w:r>
        <w:rPr>
          <w:sz w:val="22"/>
          <w:szCs w:val="22"/>
        </w:rPr>
        <w:t xml:space="preserve">3.5. Действующий список скидок клиента категории «А» и коэффициент ГЗ. Скидка выносится отдельным вводным значением в листе проценки. ГЗ нужен для плановой себестоимости, если фактической нет.</w:t>
      </w:r>
    </w:p>
    <w:p>
      <w:pPr>
        <w:spacing w:before="280" w:after="80"/>
      </w:pPr>
      <w:r>
        <w:rPr>
          <w:b/>
          <w:sz w:val="24"/>
          <w:szCs w:val="24"/>
        </w:rPr>
        <w:t xml:space="preserve">4. Что входит и что не входит в выборку</w:t>
      </w:r>
    </w:p>
    <w:p>
      <w:pPr>
        <w:spacing w:after="80"/>
        <w:ind w:firstLine="0"/>
      </w:pPr>
      <w:r>
        <w:rPr>
          <w:sz w:val="22"/>
          <w:szCs w:val="22"/>
        </w:rPr>
        <w:t xml:space="preserve">4.1. Целевые группы — шесть групп раздела 5, если по позиции есть цена конкурента. По ним судят объём и продажи.</w:t>
      </w:r>
    </w:p>
    <w:p>
      <w:pPr>
        <w:spacing w:after="80"/>
        <w:ind w:firstLine="0"/>
      </w:pPr>
      <w:r>
        <w:rPr>
          <w:sz w:val="22"/>
          <w:szCs w:val="22"/>
        </w:rPr>
        <w:t xml:space="preserve">4.2. Мелкие группы — остальные группы брендов, по которым цена конкурента есть. У них нет отдельного набора порогов: коридор берётся из файла «Позиционирование» этой подгруппы.</w:t>
      </w:r>
    </w:p>
    <w:p>
      <w:pPr>
        <w:spacing w:after="80"/>
        <w:ind w:firstLine="0"/>
      </w:pPr>
      <w:r>
        <w:rPr>
          <w:sz w:val="22"/>
          <w:szCs w:val="22"/>
        </w:rPr>
        <w:t xml:space="preserve">4.3. Нет цен — конкурент в позиционировании назван, но цены нет. В вывод пишется только «нет цен для анализа». Группа без конкурента в позиционировании не выводится.</w:t>
      </w:r>
    </w:p>
    <w:p>
      <w:pPr>
        <w:spacing w:after="80"/>
        <w:ind w:firstLine="0"/>
      </w:pPr>
      <w:r>
        <w:rPr>
          <w:sz w:val="22"/>
          <w:szCs w:val="22"/>
        </w:rPr>
        <w:t xml:space="preserve">4.4. Распродажа — любая позиция, у которой тип ассортимента R, категория ABC равна D либо заполнен столбец «Вывод из ассортимента». NEW — только тип ассортимента N. Категория ABC «NEW» сама по себе NEW не делает.</w:t>
      </w:r>
    </w:p>
    <w:p>
      <w:pPr>
        <w:spacing w:after="80"/>
        <w:ind w:firstLine="0"/>
      </w:pPr>
      <w:r>
        <w:rPr>
          <w:sz w:val="22"/>
          <w:szCs w:val="22"/>
        </w:rPr>
        <w:t xml:space="preserve">4.5. Оверсток — товар без продаж от 6 месяцев, по признаку оверстока в ПСТ.</w:t>
      </w:r>
    </w:p>
    <w:p>
      <w:pPr>
        <w:spacing w:after="80"/>
        <w:ind w:firstLine="0"/>
      </w:pPr>
      <w:r>
        <w:rPr>
          <w:sz w:val="22"/>
          <w:szCs w:val="22"/>
        </w:rPr>
        <w:t xml:space="preserve">4.6. Распродажа и оверсток считаются отдельно друг от друга и отдельно от основной проценки. Позиция, которая является и тем и другим, входит в обе выборки. Сроки — по разделу 2.</w:t>
      </w:r>
    </w:p>
    <w:p>
      <w:pPr>
        <w:spacing w:after="80"/>
        <w:ind w:firstLine="0"/>
      </w:pPr>
      <w:r>
        <w:rPr>
          <w:sz w:val="22"/>
          <w:szCs w:val="22"/>
        </w:rPr>
        <w:t xml:space="preserve">4.7. В проценку не включается группа заказа «Товары сторонних поставщиков».</w:t>
      </w:r>
    </w:p>
    <w:p>
      <w:pPr>
        <w:spacing w:before="280" w:after="80"/>
      </w:pPr>
      <w:r>
        <w:rPr>
          <w:b/>
          <w:sz w:val="24"/>
          <w:szCs w:val="24"/>
        </w:rPr>
        <w:t xml:space="preserve">5. Целевые группы и конкуренты</w:t>
      </w:r>
    </w:p>
    <w:p>
      <w:pPr>
        <w:spacing w:after="80"/>
        <w:ind w:firstLine="0"/>
      </w:pPr>
      <w:r>
        <w:rPr>
          <w:sz w:val="22"/>
          <w:szCs w:val="22"/>
        </w:rPr>
        <w:t xml:space="preserve">ADVICS, тормозные диски, стандартные тормозные диски — Brembo, Kashiyama, G-brake.</w:t>
      </w:r>
    </w:p>
    <w:p>
      <w:pPr>
        <w:spacing w:after="80"/>
        <w:ind w:firstLine="0"/>
      </w:pPr>
      <w:r>
        <w:rPr>
          <w:sz w:val="22"/>
          <w:szCs w:val="22"/>
        </w:rPr>
        <w:t xml:space="preserve">ADVICS, тормозные колодки, дисковые и барабанные — Akebono, Brembo, Kashiyama, G-brake.</w:t>
      </w:r>
    </w:p>
    <w:p>
      <w:pPr>
        <w:spacing w:after="80"/>
        <w:ind w:firstLine="0"/>
      </w:pPr>
      <w:r>
        <w:rPr>
          <w:sz w:val="22"/>
          <w:szCs w:val="22"/>
        </w:rPr>
        <w:t xml:space="preserve">AVANTECH, тормозные диски, стандартные тормозные диски — LYNXAUTO, G-brake, PATRON.</w:t>
      </w:r>
    </w:p>
    <w:p>
      <w:pPr>
        <w:spacing w:after="80"/>
        <w:ind w:firstLine="0"/>
      </w:pPr>
      <w:r>
        <w:rPr>
          <w:sz w:val="22"/>
          <w:szCs w:val="22"/>
        </w:rPr>
        <w:t xml:space="preserve">AVANTECH, тормозные колодки, дисковые — KASHIYAMA, LYNXAUTO, G-BRAKE.</w:t>
      </w:r>
    </w:p>
    <w:p>
      <w:pPr>
        <w:spacing w:after="80"/>
        <w:ind w:firstLine="0"/>
      </w:pPr>
      <w:r>
        <w:rPr>
          <w:sz w:val="22"/>
          <w:szCs w:val="22"/>
        </w:rPr>
        <w:t xml:space="preserve">DOUBLE FORCE, фильтры автомобильные, воздушные, масляные, салонные, топливные, для АКПП — JD, MILES.</w:t>
      </w:r>
    </w:p>
    <w:p>
      <w:pPr>
        <w:spacing w:after="80"/>
        <w:ind w:firstLine="0"/>
      </w:pPr>
      <w:r>
        <w:rPr>
          <w:sz w:val="22"/>
          <w:szCs w:val="22"/>
        </w:rPr>
        <w:t xml:space="preserve">AVANTECH, фильтры автомобильные, воздушные, масляные, салонные, топливные — LYNXAUTO, ZEKKERT.</w:t>
      </w:r>
    </w:p>
    <w:p>
      <w:pPr>
        <w:spacing w:after="80"/>
        <w:ind w:firstLine="0"/>
      </w:pPr>
      <w:r>
        <w:rPr>
          <w:sz w:val="22"/>
          <w:szCs w:val="22"/>
        </w:rPr>
        <w:t xml:space="preserve">Порядок брендов в строке — порядок приоритета. Первым считается тот, кто стоит первым.</w:t>
      </w:r>
    </w:p>
    <w:p>
      <w:pPr>
        <w:spacing w:before="280" w:after="80"/>
      </w:pPr>
      <w:r>
        <w:rPr>
          <w:b/>
          <w:sz w:val="24"/>
          <w:szCs w:val="24"/>
        </w:rPr>
        <w:t xml:space="preserve">6. Расчёт</w:t>
      </w:r>
    </w:p>
    <w:p>
      <w:pPr>
        <w:spacing w:after="80"/>
        <w:ind w:firstLine="0"/>
      </w:pPr>
      <w:r>
        <w:rPr>
          <w:sz w:val="22"/>
          <w:szCs w:val="22"/>
        </w:rPr>
        <w:t xml:space="preserve">6.1. Цена категории «А»: Кат. А = МО × (1 − скидка клиента категории «А»). МО — мелкооптовая цена артикула. Скидка — из действующего списка, в долях: 15 % записываются как 0,15.</w:t>
      </w:r>
    </w:p>
    <w:p>
      <w:pPr>
        <w:spacing w:after="80"/>
        <w:ind w:firstLine="0"/>
      </w:pPr>
      <w:r>
        <w:rPr>
          <w:sz w:val="22"/>
          <w:szCs w:val="22"/>
        </w:rPr>
        <w:t xml:space="preserve">6.2. Валовая рентабельность: ВР = 1 − СБС / Кат. А. Если себестоимости нет, а плановая есть, ВР считается от плановой: закупка в рублях × коэффициент ГЗ. ВР не опускается ниже 32 %. По целевым группам раздела 5 ориентир — 34 %.</w:t>
      </w:r>
    </w:p>
    <w:p>
      <w:pPr>
        <w:spacing w:after="80"/>
        <w:ind w:firstLine="0"/>
      </w:pPr>
      <w:r>
        <w:rPr>
          <w:sz w:val="22"/>
          <w:szCs w:val="22"/>
        </w:rPr>
        <w:t xml:space="preserve">6.3. Отклонение пары «наш артикул — конкурент»: Откл = 1 − Кат. А / Цена конкурента. Отрицательное значение — наша кат. А выше цены конкурента, мы дороже. Положительное — мы дешевле. В долях; в листе проценки показывается в процентах.</w:t>
      </w:r>
    </w:p>
    <w:p>
      <w:pPr>
        <w:spacing w:after="80"/>
        <w:ind w:firstLine="0"/>
      </w:pPr>
      <w:r>
        <w:rPr>
          <w:sz w:val="22"/>
          <w:szCs w:val="22"/>
        </w:rPr>
        <w:t xml:space="preserve">6.4. Общее отклонение группы считается по продажам: больший вес у артикула с большими продажами в штуках. Для NITTO и SUN общее отклонение — среднее по всем конкурентам, у которых есть цена. Первый и второй конкурент при этом показываются отдельно.</w:t>
      </w:r>
    </w:p>
    <w:p>
      <w:pPr>
        <w:spacing w:after="80"/>
        <w:ind w:firstLine="0"/>
      </w:pPr>
      <w:r>
        <w:rPr>
          <w:sz w:val="22"/>
          <w:szCs w:val="22"/>
        </w:rPr>
        <w:t xml:space="preserve">6.5. Позиция в коридоре, если отклонение между «целевое откл. мин.» и «целевое откл. макс.». Границы берутся из столбца «% отклонения». Запись «−5 / −10» означает коридор от −10 до −5. Допускается рабочий допуск вокруг коридора, он задаётся по группе отдельно и в листе проценки фиксируется числом.</w:t>
      </w:r>
    </w:p>
    <w:p>
      <w:pPr>
        <w:spacing w:after="80"/>
        <w:ind w:firstLine="0"/>
      </w:pPr>
      <w:r>
        <w:rPr>
          <w:sz w:val="22"/>
          <w:szCs w:val="22"/>
        </w:rPr>
        <w:t xml:space="preserve">6.6. Статусы: «в коридоре»; «дороже коридора» — наша цена выше целевого уровня; «дешевле коридора» — ниже; «нет цен» — нет цены конкурента или нет кат. А. Позиция «нет цен» в текущем периоде не оценивается.</w:t>
      </w:r>
    </w:p>
    <w:p>
      <w:pPr>
        <w:spacing w:before="280" w:after="80"/>
      </w:pPr>
      <w:r>
        <w:rPr>
          <w:b/>
          <w:sz w:val="24"/>
          <w:szCs w:val="24"/>
        </w:rPr>
        <w:t xml:space="preserve">7. Как сопоставлять цены</w:t>
      </w:r>
    </w:p>
    <w:p>
      <w:pPr>
        <w:spacing w:after="80"/>
        <w:ind w:firstLine="0"/>
      </w:pPr>
      <w:r>
        <w:rPr>
          <w:sz w:val="22"/>
          <w:szCs w:val="22"/>
        </w:rPr>
        <w:t xml:space="preserve">7.1. Берутся только кроссы «Да». Артикул сравнивается без точек, пробелов и дефисов. Кросс «Нет» не используется.</w:t>
      </w:r>
    </w:p>
    <w:p>
      <w:pPr>
        <w:spacing w:after="80"/>
        <w:ind w:firstLine="0"/>
      </w:pPr>
      <w:r>
        <w:rPr>
          <w:sz w:val="22"/>
          <w:szCs w:val="22"/>
        </w:rPr>
        <w:t xml:space="preserve">7.2. Цены одного уровня: кат. А сравнивается с ценой конкурента того же канала. Комплектность проверяется до расчёта: колодки — комплект на ось, диски — штука или пара. Несопоставимая строка помечается комментарием и в вывод группы не входит.</w:t>
      </w:r>
    </w:p>
    <w:p>
      <w:pPr>
        <w:spacing w:after="80"/>
        <w:ind w:firstLine="0"/>
      </w:pPr>
      <w:r>
        <w:rPr>
          <w:sz w:val="22"/>
          <w:szCs w:val="22"/>
        </w:rPr>
        <w:t xml:space="preserve">7.3. На страну берётся одна цена конкурента — минимальная среди поставщиков мониторинга этого бренда. Цена ниже 10 ₽ и цена, которая в разы ниже остальных предложений того же артикула, в расчёт не берётся.</w:t>
      </w:r>
    </w:p>
    <w:p>
      <w:pPr>
        <w:spacing w:after="80"/>
        <w:ind w:firstLine="0"/>
      </w:pPr>
      <w:r>
        <w:rPr>
          <w:sz w:val="22"/>
          <w:szCs w:val="22"/>
        </w:rPr>
        <w:t xml:space="preserve">7.4. Если у первого конкурента цена есть, второй и третий в решение не входят. Их показывают справочно, когда первого нет. Для NITTO и SUN это правило не действует: решение смотрит на всех конкурентов с ценой, одного ориентира нет.</w:t>
      </w:r>
    </w:p>
    <w:p>
      <w:pPr>
        <w:spacing w:after="80"/>
        <w:ind w:firstLine="0"/>
      </w:pPr>
      <w:r>
        <w:rPr>
          <w:sz w:val="22"/>
          <w:szCs w:val="22"/>
        </w:rPr>
        <w:t xml:space="preserve">7.5. Смежная марка считается только в парах: ADVICS и AVANTECH — диски и колодки; AVANTECH и DOUBLE FORCE — фильтры. Цена смежной марки — её кат. А по общему номеру ОЕМ из ПСТ. Цена из «Анализ цен поставщиков КД» в эту ячейку не подставляется. В остальных группах смежная марка не считается.</w:t>
      </w:r>
    </w:p>
    <w:p>
      <w:pPr>
        <w:spacing w:before="280" w:after="80"/>
      </w:pPr>
      <w:r>
        <w:rPr>
          <w:b/>
          <w:sz w:val="24"/>
          <w:szCs w:val="24"/>
        </w:rPr>
        <w:t xml:space="preserve">8. Решение по новой цене</w:t>
      </w:r>
    </w:p>
    <w:p>
      <w:pPr>
        <w:spacing w:after="80"/>
        <w:ind w:firstLine="0"/>
      </w:pPr>
      <w:r>
        <w:rPr>
          <w:sz w:val="22"/>
          <w:szCs w:val="22"/>
        </w:rPr>
        <w:t xml:space="preserve">8.1. Сначала отбираются продажи за год. Затем по отклонению отделяются позиции внутри допуска, дороже и дешевле. Дороже и дешевле прорабатываются отдельно.</w:t>
      </w:r>
    </w:p>
    <w:p>
      <w:pPr>
        <w:spacing w:after="80"/>
        <w:ind w:firstLine="0"/>
      </w:pPr>
      <w:r>
        <w:rPr>
          <w:sz w:val="22"/>
          <w:szCs w:val="22"/>
        </w:rPr>
        <w:t xml:space="preserve">8.2. Новая цена ставится по очереди: категория ABC и продажи, остаток и товар в пути, автопарк и регион, ВР. После каждой правки проверяется, насколько новая цена ушла от старой и где оказалось отклонение от конкурента.</w:t>
      </w:r>
    </w:p>
    <w:p>
      <w:pPr>
        <w:spacing w:after="80"/>
        <w:ind w:firstLine="0"/>
      </w:pPr>
      <w:r>
        <w:rPr>
          <w:sz w:val="22"/>
          <w:szCs w:val="22"/>
        </w:rPr>
        <w:t xml:space="preserve">8.3. Ограничения изменения своей цены: вниз не больше примерно 10 % от старой цены, вверх не больше примерно 20 %. Категории ABC A и AA вниз не снижаются. По топу продаж ориентир только первый конкурент, снижение не больше 2 %.</w:t>
      </w:r>
    </w:p>
    <w:p>
      <w:pPr>
        <w:spacing w:after="80"/>
        <w:ind w:firstLine="0"/>
      </w:pPr>
      <w:r>
        <w:rPr>
          <w:sz w:val="22"/>
          <w:szCs w:val="22"/>
        </w:rPr>
        <w:t xml:space="preserve">8.4. Не повышаются распродажа и оверсток. Европейский и американский автопарк не повышается больше чем на 2 %. Тонкий остаток при пустом товаре в пути — повод снизить цену только если артикул не продаётся. Если продажи есть, один только малый остаток цену не снижает.</w:t>
      </w:r>
    </w:p>
    <w:p>
      <w:pPr>
        <w:spacing w:after="80"/>
        <w:ind w:firstLine="0"/>
      </w:pPr>
      <w:r>
        <w:rPr>
          <w:sz w:val="22"/>
          <w:szCs w:val="22"/>
        </w:rPr>
        <w:t xml:space="preserve">8.5. По группе бренда действуют её исключения. Пример: по AVANTECH из повышения исключаются перфорированные диски. Исключение записывается в листе проценки этой группы.</w:t>
      </w:r>
    </w:p>
    <w:p>
      <w:pPr>
        <w:spacing w:after="80"/>
        <w:ind w:firstLine="0"/>
      </w:pPr>
      <w:r>
        <w:rPr>
          <w:sz w:val="22"/>
          <w:szCs w:val="22"/>
        </w:rPr>
        <w:t xml:space="preserve">8.6. В конце по группе проверяется ВР целиком: было и стало. В вывод входят три числа — сколько артикулов поднять, сколько опустить, сколько не трогать. Поднять — повышение и удержание ВР, опустить — снижение, не трогать — цена остаётся.</w:t>
      </w:r>
    </w:p>
    <w:p>
      <w:pPr>
        <w:spacing w:before="280" w:after="80"/>
      </w:pPr>
      <w:r>
        <w:rPr>
          <w:b/>
          <w:sz w:val="24"/>
          <w:szCs w:val="24"/>
        </w:rPr>
        <w:t xml:space="preserve">9. Что фиксируется по группе</w:t>
      </w:r>
    </w:p>
    <w:p>
      <w:pPr>
        <w:spacing w:after="80"/>
        <w:ind w:firstLine="0"/>
      </w:pPr>
      <w:r>
        <w:rPr>
          <w:sz w:val="22"/>
          <w:szCs w:val="22"/>
        </w:rPr>
        <w:t xml:space="preserve">9.1. Заголовок — марка и группа, обычным написанием: «Advics Тормозные диски».</w:t>
      </w:r>
    </w:p>
    <w:p>
      <w:pPr>
        <w:spacing w:after="80"/>
        <w:ind w:firstLine="0"/>
      </w:pPr>
      <w:r>
        <w:rPr>
          <w:sz w:val="22"/>
          <w:szCs w:val="22"/>
        </w:rPr>
        <w:t xml:space="preserve">9.2. До изменения цен: общее отклонение и слова «мы дешевле» или «мы дороже»; затем первый конкурент и его отклонение; второй — если он есть в позиционировании. Дальше строка по ABC, только те категории, где цена конкурента есть.</w:t>
      </w:r>
    </w:p>
    <w:p>
      <w:pPr>
        <w:spacing w:after="80"/>
        <w:ind w:firstLine="0"/>
      </w:pPr>
      <w:r>
        <w:rPr>
          <w:sz w:val="22"/>
          <w:szCs w:val="22"/>
        </w:rPr>
        <w:t xml:space="preserve">9.3. После изменения цен, если цены менялись: то же отклонение по новой кат. А и ВР было / стало.</w:t>
      </w:r>
    </w:p>
    <w:p>
      <w:pPr>
        <w:spacing w:after="80"/>
        <w:ind w:firstLine="0"/>
      </w:pPr>
      <w:r>
        <w:rPr>
          <w:sz w:val="22"/>
          <w:szCs w:val="22"/>
        </w:rPr>
        <w:t xml:space="preserve">9.4. Вывод. В коридоре — «в позиционировании». Вне коридора — «мы дешевле конкурента» или «мы дороже конкурента» и числа: поднять, опустить, не трогать. Нет цены — одна фраза: «нет цен для анализа».</w:t>
      </w:r>
    </w:p>
    <w:p>
      <w:pPr>
        <w:spacing w:after="80"/>
        <w:ind w:firstLine="0"/>
      </w:pPr>
      <w:r>
        <w:rPr>
          <w:sz w:val="22"/>
          <w:szCs w:val="22"/>
        </w:rPr>
        <w:t xml:space="preserve">9.5. Целевые группы, мелкие группы и группы без цен сдаются тремя отдельными блоками, в этом порядке.</w:t>
      </w:r>
    </w:p>
    <w:p>
      <w:pPr>
        <w:spacing w:before="280" w:after="80"/>
      </w:pPr>
      <w:r>
        <w:rPr>
          <w:b/>
          <w:sz w:val="24"/>
          <w:szCs w:val="24"/>
        </w:rPr>
        <w:t xml:space="preserve">10. Сдача и изменение правил</w:t>
      </w:r>
    </w:p>
    <w:p>
      <w:pPr>
        <w:spacing w:after="80"/>
        <w:ind w:firstLine="0"/>
      </w:pPr>
      <w:r>
        <w:rPr>
          <w:sz w:val="22"/>
          <w:szCs w:val="22"/>
        </w:rPr>
        <w:t xml:space="preserve">10.1. Руководству в срок раздела 2 передаётся: доля позиций в коридоре, перечень отклонений и величина выхода, решения по ценам, ВР было и стало. Еженедельно — целевые группы, распродажа и оверсток. Ежемесячно — мелкие группы. Ежеквартально — группы «B» и «C».</w:t>
      </w:r>
    </w:p>
    <w:p>
      <w:pPr>
        <w:spacing w:after="80"/>
        <w:ind w:firstLine="0"/>
      </w:pPr>
      <w:r>
        <w:rPr>
          <w:sz w:val="22"/>
          <w:szCs w:val="22"/>
        </w:rPr>
        <w:t xml:space="preserve">10.2. Пустая проценка не оформляется. Если после отбора в группе не осталось артикулов, лист по ней не делается, в своде остаётся только вывод «нет цен для анализа», когда конкурент в позиционировании есть, а цены нет.</w:t>
      </w:r>
    </w:p>
    <w:p>
      <w:pPr>
        <w:spacing w:after="80"/>
        <w:ind w:firstLine="0"/>
      </w:pPr>
      <w:r>
        <w:rPr>
          <w:sz w:val="22"/>
          <w:szCs w:val="22"/>
        </w:rPr>
        <w:t xml:space="preserve">10.3. Новый коридор или новое правило вносится в файл «Позиционирование» и в регистр «матрица позиционирования» либо «ЦО правила ценообразования». Изменение согласует руководитель направления. До согласования в проценке действует прежний коридор.</w:t>
      </w:r>
    </w:p>
    <w:sectPr>
      <w:pgSz w:w="11906" w:h="16838"/>
      <w:pgMar w:top="1134" w:right="850" w:bottom="1134" w:left="1134"/>
    </w:sectPr>
  </w:body>
</w:document>
</file>