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flex your creativity and skills! For the remainder of class, you’ll explore Bootstrap’s extensive documentation to discover and add more components to your webpage.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xq41hq4qzls0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You’ve only scratched the surface of what Bootstrap 4 has to offer. Take time to explore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Bootstrap’s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to discover more components you can learn and apply while using Bootstrap.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must add </w:t>
      </w:r>
      <w:r w:rsidDel="00000000" w:rsidR="00000000" w:rsidRPr="00000000">
        <w:rPr>
          <w:rFonts w:ascii="Roboto" w:cs="Roboto" w:eastAsia="Roboto" w:hAnsi="Roboto"/>
          <w:i w:val="1"/>
          <w:color w:val="24292e"/>
          <w:rtl w:val="0"/>
        </w:rPr>
        <w:t xml:space="preserve">at least three of the following four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Bootstrap components to your template: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Collapsible element: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https://getbootstrap.com/docs/4.3/components/collapse/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Drop-down (for your navigation):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https://getbootstrap.com/docs/4.3/components/dropdowns/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Carousel with images: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Popover: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https://getbootstrap.com/docs/4.3/components/popovers/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 get stuck, refer to the documentation.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you’re still stuck, ask for input and feedback.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Have fun! 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rPr/>
    </w:pPr>
    <w:bookmarkStart w:colFirst="0" w:colLast="0" w:name="_daaah8ullnzx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Bootstrap 4 Components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etbootstrap.com/docs/4.3/components/popovers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3/components/carousel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/collapse/" TargetMode="External"/><Relationship Id="rId8" Type="http://schemas.openxmlformats.org/officeDocument/2006/relationships/hyperlink" Target="https://getbootstrap.com/docs/4.3/components/dropdow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