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УДК: 004.624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Импорт именованных сущностей из реляционной БД в семантическую сеть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А.О.Ванцев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(Университет ИТМО, Санкт-Петербург)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Научный руководитель: Е.А. Цопа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(Университет ИТМО, Санкт-Петербург)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Анализ текстов на естественном языке является актуальным и перспективным направлением в области автоматической обработки текстов и компьютерной лингвистики. Исследования в этой области имеют как научный, так и практический интерес, поскольку в ней существует множество задач, которые решаются с помощью вычислительных устройств. Эти задачи можно классифицировать по уровню детализации: сигналов, слов, словосочетаний, предложений и т.д. На уровне словосочетаний происходит определение частей речи, выделение слов, распознавание именованных сущностей. Для решения последней задачи требуется иметь семантическую сеть, не только определяющую предметную область, но и содержащую конкретные экземпляры.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Целью данной работы является автоматизация процесса создания семантической сети на основе метаданных реляционной базы данных и последующего импорта из последней именованных сущностей.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Базовые положение исследования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Создание семантической сети требует информации о предметной области: ее объектах и связях. Вследствие этого автором был предложен следующий подход к формированию сети: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Анализируется структура метаданных реляционной БД: таблицы, колонк, связи между таблицами.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 основе результатов анализа метаданных реляционной БД формируется структура семантической сети (узлы и семантические отношения), описывающей заданную предметную область.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 основе созданной модели формируется определенная выборка из реляционной БД, позволяющая наполнить семантическую сеть уникальными именованными сущностями.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проверки применимости предложенного подхода к решению практических задач автором было разработано приложение, реализующее следующие функции: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Подключение к реляционной БД и получение ее метаданных.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Предоставление графического интерфейса для отображения обнаруженных таблиц и связей между ними в виде диаграммы.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Автоматическое создание семантической сети на основе выбранных пользователем таблиц и колонок.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Получение из реляционной БД именованных сущностей.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и сохранение в текстовый файл скрипта для создания желаемой семантической сети и наполнения ее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Приложение было выполнено на языке программирования Java. Предусмотрена возможность подключения к различным БД: MS SQL, Oracle, PostgreSQL, однако архитектура приложения позволяет легко добавлять новые источники данных.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Список всех найденных таблиц отображается во вспомогательном окне, а отмеченные пользователем - в основном окне в виде динамически изменяющейся ER-диаграммы.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Структура семантической сети создаётся при выборе нужных таблиц или их колонок и отображается в отдельной вкладке. При условии корректной структуры генерируется скрипт на языке SemQL.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