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360" w:lineRule="auto"/>
        <w:ind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 xml:space="preserve">Silberbäumchen-Versuch</w:t>
      </w:r>
      <w:r>
        <w:rPr>
          <w:rFonts w:ascii="Arial" w:hAnsi="Arial" w:cs="Arial"/>
          <w:b/>
          <w:sz w:val="28"/>
          <w:szCs w:val="28"/>
          <w:u w:val="none"/>
        </w:rPr>
        <w:t xml:space="preserve"> </w:t>
      </w:r>
      <w:r>
        <w:rPr>
          <w:rFonts w:ascii="Arial" w:hAnsi="Arial" w:cs="Arial"/>
          <w:b/>
          <w:sz w:val="28"/>
          <w:szCs w:val="28"/>
          <w:u w:val="non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Bdr/>
        <w:spacing w:after="0"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Legt man eine Spannung an eine Silbernitrat-Lösung an, so bildet sich an der Anode und der Kathode jeweils ein „Bäumchen“. Diese wirken zwar sehr ähnlich, sind jedoch grundverschieden.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/>
      <w:bookmarkStart w:id="0" w:name="_GoBack"/>
      <w:r/>
      <w:bookmarkEnd w:id="0"/>
      <w:r/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Elektrolyse einer Silbernitrat-Lösung</w:t>
      </w:r>
      <w:r>
        <w:rPr>
          <w:rFonts w:ascii="Arial" w:hAnsi="Arial" w:cs="Arial"/>
          <w:b/>
          <w:sz w:val="24"/>
          <w:szCs w:val="24"/>
          <w:u w:val="no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b/>
          <w:sz w:val="24"/>
          <w:szCs w:val="24"/>
          <w:u w:val="non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Geräte:</w:t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689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Petrischale</w:t>
      </w:r>
      <w:r>
        <w:rPr>
          <w:rFonts w:ascii="Arial" w:hAnsi="Arial" w:cs="Arial"/>
          <w:sz w:val="24"/>
          <w:szCs w:val="24"/>
        </w:rPr>
      </w:r>
    </w:p>
    <w:p>
      <w:pPr>
        <w:pStyle w:val="689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Becherglas (zum Ansetzen der Lösung)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89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Regelbares Netzgerät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89"/>
        <w:numPr>
          <w:ilvl w:val="0"/>
          <w:numId w:val="4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Graphit-Elektroden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89"/>
        <w:pBdr/>
        <w:spacing w:after="0" w:line="276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Chemikalien:</w:t>
      </w:r>
      <w:r>
        <w:rPr>
          <w:rFonts w:ascii="Arial" w:hAnsi="Arial" w:cs="Arial"/>
          <w:sz w:val="24"/>
          <w:szCs w:val="24"/>
          <w:u w:val="single"/>
        </w:rPr>
      </w:r>
    </w:p>
    <w:tbl>
      <w:tblPr>
        <w:tblStyle w:val="69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4110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gridSpan w:val="2"/>
            <w:tcBorders/>
            <w:tcW w:w="49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Gefahren</w:t>
            </w:r>
            <w:r>
              <w:rPr>
                <w:rFonts w:ascii="Arial" w:hAnsi="Arial" w:cs="Arial"/>
                <w:sz w:val="24"/>
                <w:szCs w:val="24"/>
              </w:rPr>
              <w:t xml:space="preserve">symbole bzw. H- und P-Sätze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Silbernitrat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AgNO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  <w:r/>
            <w:r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1" name="" descr="Flamme über einem Kreis⁠" title="Brandförder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027451" name="" descr="Flamme über einem Kreis⁠" title="Brandfördern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.35pt;height:28.35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2" name="" descr="Ätzende Flüssigkeit, die aus Reagenzgläsern auf eine Oberfläche und eine Hand tropft" title="Ätze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8422254" name="" descr="Ätzende Flüssigkeit, die aus Reagenzgläsern auf eine Oberfläche und eine Hand tropft" title="Ätzen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8.35pt;height:28.35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3" name="" descr="Umwelt mit abgestorbenem Baum, totem Fisch und Gewässer⁠" title="Umweltgefährlci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5259457" name="" descr="Umwelt mit abgestorbenem Baum, totem Fisch und Gewässer⁠" title="Umweltgefährlcih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8.35pt;height:28.35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272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290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314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hyperlink r:id="rId14" w:tooltip="H- und P-Sätze" w:history="1">
              <w:r>
                <w:rPr>
                  <w:rFonts w:ascii="Arial" w:hAnsi="Arial" w:eastAsia="Arial" w:cs="Arial"/>
                  <w:sz w:val="24"/>
                  <w:szCs w:val="24"/>
                </w:rPr>
                <w:t xml:space="preserve">410</w:t>
              </w:r>
            </w:hyperlink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5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P: 210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​-260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-273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280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303+361+353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305+351+338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308+310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/>
          </w:p>
        </w:tc>
      </w:tr>
    </w:tbl>
    <w:p>
      <w:pPr>
        <w:pBdr/>
        <w:spacing w:after="0" w:line="360" w:lineRule="auto"/>
        <w:ind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Bdr/>
        <w:spacing w:after="0" w:line="360" w:lineRule="auto"/>
        <w:ind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ascii="Arial" w:hAnsi="Arial" w:cs="Arial"/>
          <w:sz w:val="24"/>
          <w:szCs w:val="24"/>
          <w:u w:val="single"/>
        </w:rPr>
        <w:t xml:space="preserve">Durchführung:</w:t>
      </w:r>
      <w:r>
        <w:rPr>
          <w:rFonts w:ascii="Arial" w:hAnsi="Arial" w:cs="Arial"/>
          <w:b/>
          <w:bCs/>
          <w:color w:val="0645ad"/>
          <w:sz w:val="19"/>
          <w:szCs w:val="19"/>
          <w:lang w:eastAsia="de-DE"/>
        </w:rPr>
        <w:t xml:space="preserve"> </w:t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Style w:val="689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Herstellen einer 1-molaren AgNO</w:t>
      </w:r>
      <w:r>
        <w:rPr>
          <w:rFonts w:ascii="Arial" w:hAnsi="Arial" w:cs="Arial"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sz w:val="24"/>
          <w:szCs w:val="24"/>
          <w:vertAlign w:val="baseline"/>
        </w:rPr>
        <w:t xml:space="preserve">-Lösung mit 3,0</w:t>
      </w:r>
      <w:r>
        <w:t xml:space="preserve"> </w:t>
      </w:r>
      <w:r>
        <w:rPr>
          <w:rFonts w:ascii="Arial" w:hAnsi="Arial" w:cs="Arial"/>
          <w:sz w:val="24"/>
          <w:szCs w:val="24"/>
          <w:vertAlign w:val="baseline"/>
        </w:rPr>
        <w:t xml:space="preserve">g </w:t>
      </w:r>
      <w:r>
        <w:rPr>
          <w:rFonts w:ascii="Arial" w:hAnsi="Arial" w:cs="Arial"/>
          <w:sz w:val="24"/>
          <w:szCs w:val="24"/>
          <w:vertAlign w:val="baseline"/>
        </w:rPr>
        <w:t xml:space="preserve">Silbernitrat und 20</w:t>
      </w:r>
      <w:r>
        <w:t xml:space="preserve"> </w:t>
      </w:r>
      <w:r>
        <w:rPr>
          <w:rFonts w:ascii="Arial" w:hAnsi="Arial" w:cs="Arial"/>
          <w:sz w:val="24"/>
          <w:szCs w:val="24"/>
          <w:vertAlign w:val="baseline"/>
        </w:rPr>
        <w:t xml:space="preserve">ml Wasser</w:t>
      </w:r>
      <w:r>
        <w:rPr>
          <w:rFonts w:ascii="Arial" w:hAnsi="Arial" w:cs="Arial"/>
          <w:sz w:val="24"/>
          <w:szCs w:val="24"/>
        </w:rPr>
      </w:r>
    </w:p>
    <w:p>
      <w:pPr>
        <w:pStyle w:val="689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Umfüllen der Lösung in die Petrischale</w:t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</w:p>
    <w:p>
      <w:pPr>
        <w:pStyle w:val="689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Graphit-Elektroden in die Lösung eintauchen</w:t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</w:p>
    <w:p>
      <w:pPr>
        <w:pStyle w:val="689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Am Netzgerät Spannung von 10,0</w:t>
      </w:r>
      <w:r>
        <w:t xml:space="preserve"> </w:t>
      </w: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V einstellen</w:t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Entsorgung:</w:t>
      </w:r>
      <w:r>
        <w:rPr>
          <w:rFonts w:ascii="Arial" w:hAnsi="Arial" w:cs="Arial"/>
          <w:sz w:val="24"/>
          <w:szCs w:val="24"/>
        </w:rPr>
      </w:r>
    </w:p>
    <w:p>
      <w:pPr>
        <w:pStyle w:val="689"/>
        <w:numPr>
          <w:ilvl w:val="0"/>
          <w:numId w:val="2"/>
        </w:numPr>
        <w:pBdr/>
        <w:tabs>
          <w:tab w:val="left" w:leader="none" w:pos="8806"/>
        </w:tabs>
        <w:spacing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Aufgaben:</w:t>
      </w:r>
      <w:r>
        <w:rPr>
          <w:rFonts w:ascii="Arial" w:hAnsi="Arial" w:cs="Arial"/>
          <w:sz w:val="24"/>
          <w:szCs w:val="24"/>
        </w:rPr>
      </w:r>
    </w:p>
    <w:p>
      <w:pPr>
        <w:pStyle w:val="689"/>
        <w:numPr>
          <w:ilvl w:val="0"/>
          <w:numId w:val="3"/>
        </w:numPr>
        <w:pBdr/>
        <w:tabs>
          <w:tab w:val="left" w:leader="none" w:pos="8806"/>
        </w:tabs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851" w:right="1134" w:bottom="397" w:left="1134" w:header="709" w:footer="17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3"/>
      <w:pBdr>
        <w:top w:val="single" w:color="000000" w:sz="4" w:space="1"/>
      </w:pBdr>
      <w:spacing/>
      <w:ind/>
      <w:jc w:val="center"/>
      <w:rPr>
        <w:rFonts w:ascii="Arial" w:hAnsi="Arial" w:cs="Arial"/>
      </w:rPr>
    </w:pPr>
    <w:r>
      <w:rPr>
        <w:rFonts w:ascii="Arial" w:hAnsi="Arial" w:cs="Arial"/>
      </w:rPr>
      <w:t xml:space="preserve">Silberbäumchen-Versuch</w:t>
      <w:tab/>
    </w:r>
    <w:r>
      <w:rPr>
        <w:rFonts w:ascii="Arial" w:hAnsi="Arial" w:cs="Arial"/>
      </w:rPr>
    </w:r>
    <w:r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 xml:space="preserve">Seite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PAGE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  <w:t xml:space="preserve"> von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NUMPAGES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</w:r>
    <w:r/>
    <w:r>
      <w:rPr>
        <w:rFonts w:ascii="Arial" w:hAnsi="Arial" w:cs="Arial"/>
      </w:rPr>
    </w:r>
  </w:p>
  <w:p>
    <w:pPr>
      <w:pStyle w:val="693"/>
      <w:pBdr/>
      <w:spacing/>
      <w:ind/>
      <w:jc w:val="right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5"/>
    <w:next w:val="68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5"/>
    <w:next w:val="68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5"/>
    <w:next w:val="68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5"/>
    <w:next w:val="68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5"/>
    <w:next w:val="68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5"/>
    <w:next w:val="68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5"/>
    <w:next w:val="68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5"/>
    <w:next w:val="68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5"/>
    <w:next w:val="68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5"/>
    <w:next w:val="68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8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5"/>
    <w:next w:val="68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8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5"/>
    <w:next w:val="68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5"/>
    <w:next w:val="68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86"/>
    <w:link w:val="691"/>
    <w:uiPriority w:val="99"/>
    <w:pPr>
      <w:pBdr/>
      <w:spacing/>
      <w:ind/>
    </w:pPr>
  </w:style>
  <w:style w:type="character" w:styleId="45">
    <w:name w:val="Footer Char"/>
    <w:basedOn w:val="686"/>
    <w:link w:val="693"/>
    <w:uiPriority w:val="99"/>
    <w:pPr>
      <w:pBdr/>
      <w:spacing/>
      <w:ind/>
    </w:pPr>
  </w:style>
  <w:style w:type="paragraph" w:styleId="46">
    <w:name w:val="Caption"/>
    <w:basedOn w:val="685"/>
    <w:next w:val="6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3"/>
    <w:uiPriority w:val="99"/>
    <w:pPr>
      <w:pBdr/>
      <w:spacing/>
      <w:ind/>
    </w:pPr>
  </w:style>
  <w:style w:type="table" w:styleId="49">
    <w:name w:val="Table Grid Light"/>
    <w:basedOn w:val="6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5"/>
    <w:next w:val="68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5"/>
    <w:next w:val="68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5"/>
    <w:next w:val="68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5"/>
    <w:next w:val="68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5"/>
    <w:next w:val="68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5"/>
    <w:next w:val="68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5"/>
    <w:next w:val="68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5"/>
    <w:next w:val="68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5"/>
    <w:next w:val="68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5"/>
    <w:next w:val="685"/>
    <w:uiPriority w:val="99"/>
    <w:unhideWhenUsed/>
    <w:pPr>
      <w:pBdr/>
      <w:spacing w:after="0" w:afterAutospacing="0"/>
      <w:ind/>
    </w:pPr>
  </w:style>
  <w:style w:type="paragraph" w:styleId="685" w:default="1">
    <w:name w:val="Normal"/>
    <w:qFormat/>
    <w:pPr>
      <w:pBdr/>
      <w:spacing/>
      <w:ind/>
    </w:pPr>
  </w:style>
  <w:style w:type="character" w:styleId="686" w:default="1">
    <w:name w:val="Default Paragraph Font"/>
    <w:uiPriority w:val="1"/>
    <w:semiHidden/>
    <w:unhideWhenUsed/>
    <w:pPr>
      <w:pBdr/>
      <w:spacing/>
      <w:ind/>
    </w:pPr>
  </w:style>
  <w:style w:type="table" w:styleId="6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8" w:default="1">
    <w:name w:val="No List"/>
    <w:uiPriority w:val="99"/>
    <w:semiHidden/>
    <w:unhideWhenUsed/>
    <w:pPr>
      <w:pBdr/>
      <w:spacing/>
      <w:ind/>
    </w:pPr>
  </w:style>
  <w:style w:type="paragraph" w:styleId="689">
    <w:name w:val="List Paragraph"/>
    <w:basedOn w:val="685"/>
    <w:uiPriority w:val="34"/>
    <w:qFormat/>
    <w:pPr>
      <w:pBdr/>
      <w:spacing/>
      <w:ind w:left="720"/>
      <w:contextualSpacing w:val="true"/>
    </w:pPr>
  </w:style>
  <w:style w:type="table" w:styleId="690">
    <w:name w:val="Table Grid"/>
    <w:basedOn w:val="68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1">
    <w:name w:val="Header"/>
    <w:basedOn w:val="685"/>
    <w:link w:val="692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692" w:customStyle="1">
    <w:name w:val="Kopfzeile Zchn"/>
    <w:basedOn w:val="686"/>
    <w:link w:val="691"/>
    <w:uiPriority w:val="99"/>
    <w:pPr>
      <w:pBdr/>
      <w:spacing/>
      <w:ind/>
    </w:pPr>
  </w:style>
  <w:style w:type="paragraph" w:styleId="693">
    <w:name w:val="Footer"/>
    <w:basedOn w:val="685"/>
    <w:link w:val="69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694" w:customStyle="1">
    <w:name w:val="Fußzeile Zchn"/>
    <w:basedOn w:val="686"/>
    <w:link w:val="693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de.wikipedia.org/wiki/H-_und_P-S%C3%A4tze#H-S%C3%A4tz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created xsi:type="dcterms:W3CDTF">2019-04-07T14:43:00Z</dcterms:created>
  <dcterms:modified xsi:type="dcterms:W3CDTF">2024-09-10T14:27:16Z</dcterms:modified>
</cp:coreProperties>
</file>