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360" w:lineRule="auto"/>
        <w:ind/>
        <w:jc w:val="center"/>
        <w:rPr>
          <w:rFonts w:ascii="Arial" w:hAnsi="Arial" w:cs="Arial"/>
          <w:b/>
          <w:sz w:val="28"/>
          <w:szCs w:val="28"/>
          <w:u w:val="none"/>
        </w:rPr>
      </w:pPr>
      <w:r>
        <w:rPr>
          <w:rFonts w:ascii="Arial" w:hAnsi="Arial" w:cs="Arial"/>
          <w:b/>
          <w:sz w:val="28"/>
          <w:szCs w:val="28"/>
          <w:u w:val="none"/>
        </w:rPr>
        <w:t xml:space="preserve">Silberbäumchen-Versuch</w:t>
      </w:r>
      <w:r>
        <w:rPr>
          <w:rFonts w:ascii="Arial" w:hAnsi="Arial" w:cs="Arial"/>
          <w:b/>
          <w:sz w:val="28"/>
          <w:szCs w:val="28"/>
          <w:u w:val="none"/>
        </w:rPr>
        <w:t xml:space="preserve"> </w:t>
      </w:r>
      <w:r>
        <w:rPr>
          <w:rFonts w:ascii="Arial" w:hAnsi="Arial" w:cs="Arial"/>
          <w:b/>
          <w:sz w:val="28"/>
          <w:szCs w:val="28"/>
          <w:u w:val="none"/>
        </w:rPr>
      </w:r>
      <w:r>
        <w:rPr>
          <w:rFonts w:ascii="Arial" w:hAnsi="Arial" w:cs="Arial"/>
          <w:b/>
          <w:sz w:val="28"/>
          <w:szCs w:val="28"/>
          <w:u w:val="none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p>
      <w:pPr>
        <w:pBdr/>
        <w:spacing w:after="0" w:line="276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Legt man eine Spannung an eine Silbernitrat-Lösung an, so bildet sich an der Anode und der Kathode jeweils ein „Bäumchen“. Diese wirken zwar sehr ähnlich, sind jedoch grundverschieden.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/>
      <w:bookmarkStart w:id="0" w:name="_GoBack"/>
      <w:r/>
      <w:bookmarkEnd w:id="0"/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 w:line="360" w:lineRule="auto"/>
        <w:ind/>
        <w:jc w:val="center"/>
        <w:rPr>
          <w:rFonts w:ascii="Arial" w:hAnsi="Arial" w:cs="Arial"/>
          <w:b/>
          <w:sz w:val="24"/>
          <w:szCs w:val="24"/>
          <w:u w:val="none"/>
        </w:rPr>
      </w:pPr>
      <w:r>
        <w:rPr>
          <w:rFonts w:ascii="Arial" w:hAnsi="Arial" w:cs="Arial"/>
          <w:b/>
          <w:sz w:val="24"/>
          <w:szCs w:val="24"/>
          <w:u w:val="none"/>
        </w:rPr>
        <w:t xml:space="preserve">Elektrolyse einer Silbernitrat-Lösung</w:t>
      </w:r>
      <w:r>
        <w:rPr>
          <w:rFonts w:ascii="Arial" w:hAnsi="Arial" w:cs="Arial"/>
          <w:b/>
          <w:sz w:val="24"/>
          <w:szCs w:val="24"/>
          <w:u w:val="none"/>
        </w:rPr>
      </w:r>
      <w:r>
        <w:rPr>
          <w:rFonts w:ascii="Arial" w:hAnsi="Arial" w:cs="Arial"/>
          <w:b/>
          <w:sz w:val="24"/>
          <w:szCs w:val="24"/>
          <w:u w:val="none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highlight w:val="none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Geräte:</w:t>
      </w:r>
      <w:r>
        <w:rPr>
          <w:rFonts w:ascii="Arial" w:hAnsi="Arial" w:cs="Arial"/>
          <w:sz w:val="24"/>
          <w:szCs w:val="24"/>
          <w:highlight w:val="none"/>
          <w:u w:val="single"/>
        </w:rPr>
      </w:r>
      <w:r>
        <w:rPr>
          <w:rFonts w:ascii="Arial" w:hAnsi="Arial" w:cs="Arial"/>
          <w:sz w:val="24"/>
          <w:szCs w:val="24"/>
          <w:highlight w:val="none"/>
          <w:u w:val="single"/>
        </w:rPr>
      </w:r>
    </w:p>
    <w:p>
      <w:pPr>
        <w:pStyle w:val="871"/>
        <w:numPr>
          <w:ilvl w:val="0"/>
          <w:numId w:val="1"/>
        </w:numPr>
        <w:pBdr/>
        <w:spacing w:after="0" w:line="276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Petrischale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1"/>
        </w:numPr>
        <w:pBdr/>
        <w:spacing w:after="0" w:line="276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Becherglas (zum Ansetzen der Lösung)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1"/>
        </w:numPr>
        <w:pBdr/>
        <w:spacing w:after="0" w:line="276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Regelbares Netzgerät</w:t>
      </w:r>
      <w:r>
        <w:rPr>
          <w:rFonts w:ascii="Arial" w:hAnsi="Arial" w:cs="Arial"/>
          <w:sz w:val="24"/>
          <w:szCs w:val="24"/>
          <w:highlight w:val="none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4"/>
        </w:numPr>
        <w:pBdr/>
        <w:spacing w:after="0" w:line="276" w:lineRule="auto"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</w:rPr>
        <w:t xml:space="preserve">Graphit-Elektroden</w:t>
      </w:r>
      <w:r>
        <w:rPr>
          <w:rFonts w:ascii="Arial" w:hAnsi="Arial" w:cs="Arial"/>
          <w:sz w:val="24"/>
          <w:szCs w:val="24"/>
        </w:rPr>
        <w:t xml:space="preserve"> (Bleistiftminen)</w:t>
      </w:r>
      <w:r>
        <w:rPr>
          <w:rFonts w:ascii="Arial" w:hAnsi="Arial" w:cs="Arial"/>
          <w:sz w:val="24"/>
          <w:szCs w:val="24"/>
        </w:rPr>
      </w:r>
    </w:p>
    <w:p>
      <w:pPr>
        <w:pStyle w:val="871"/>
        <w:pBdr/>
        <w:spacing w:after="0" w:line="276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Chemikalien:</w:t>
      </w:r>
      <w:r>
        <w:rPr>
          <w:rFonts w:ascii="Arial" w:hAnsi="Arial" w:cs="Arial"/>
          <w:sz w:val="24"/>
          <w:szCs w:val="24"/>
          <w:u w:val="single"/>
        </w:rPr>
      </w:r>
      <w:r>
        <w:rPr>
          <w:rFonts w:ascii="Arial" w:hAnsi="Arial" w:cs="Arial"/>
          <w:sz w:val="24"/>
          <w:szCs w:val="24"/>
          <w:u w:val="single"/>
        </w:rPr>
      </w:r>
    </w:p>
    <w:tbl>
      <w:tblPr>
        <w:tblStyle w:val="872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4110"/>
      </w:tblGrid>
      <w:tr>
        <w:trPr>
          <w:trHeight w:val="340"/>
        </w:trPr>
        <w:tc>
          <w:tcPr>
            <w:tcBorders>
              <w:top w:val="none" w:color="000000" w:sz="4" w:space="0"/>
              <w:left w:val="none" w:color="000000" w:sz="4" w:space="0"/>
            </w:tcBorders>
            <w:tcW w:w="15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gridSpan w:val="2"/>
            <w:tcBorders/>
            <w:tcW w:w="496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Gefahren</w:t>
            </w:r>
            <w:r>
              <w:rPr>
                <w:rFonts w:ascii="Arial" w:hAnsi="Arial" w:cs="Arial"/>
                <w:sz w:val="24"/>
                <w:szCs w:val="24"/>
              </w:rPr>
              <w:t xml:space="preserve">symbole bzw. H- und P-Sätze</w: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/>
            <w:tcW w:w="156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Silbernitrat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:highlight w:val="none"/>
                <w:vertAlign w:val="sub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AgNO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3</w:t>
            </w:r>
            <w:r>
              <w:rPr>
                <w:rFonts w:ascii="Arial" w:hAnsi="Arial" w:cs="Arial"/>
                <w:sz w:val="24"/>
                <w:szCs w:val="24"/>
                <w:highlight w:val="none"/>
                <w:vertAlign w:val="subscript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  <w:vertAlign w:val="subscript"/>
              </w:rPr>
            </w:r>
          </w:p>
        </w:tc>
        <w:tc>
          <w:tcPr>
            <w:tcBorders/>
            <w:tcW w:w="85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00" cy="360000"/>
                      <wp:effectExtent l="0" t="0" r="0" b="0"/>
                      <wp:docPr id="1" name="" descr="Flamme über einem Kreis⁠" title="Brandfördern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027451" name="" descr="Flamme über einem Kreis⁠" title="Brandfördernd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8.35pt;height:28.35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  <w:highlight w:val="none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00" cy="360000"/>
                      <wp:effectExtent l="0" t="0" r="0" b="0"/>
                      <wp:docPr id="2" name="" descr="Ätzende Flüssigkeit, die aus Reagenzgläsern auf eine Oberfläche und eine Hand tropft" title="Ätzen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8422254" name="" descr="Ätzende Flüssigkeit, die aus Reagenzgläsern auf eine Oberfläche und eine Hand tropft" title="Ätzend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28.35pt;height:28.35pt;mso-wrap-distance-left:0.00pt;mso-wrap-distance-top:0.00pt;mso-wrap-distance-right:0.00pt;mso-wrap-distance-bottom:0.00pt;rotation:0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highlight w:val="none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0000" cy="360000"/>
                      <wp:effectExtent l="0" t="0" r="0" b="0"/>
                      <wp:docPr id="3" name="" descr="Umwelt mit abgestorbenem Baum, totem Fisch und Gewässer⁠" title="Umweltgefährlcih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5259457" name="" descr="Umwelt mit abgestorbenem Baum, totem Fisch und Gewässer⁠" title="Umweltgefährlcih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360000" cy="3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28.35pt;height:28.35pt;mso-wrap-distance-left:0.00pt;mso-wrap-distance-top:0.00pt;mso-wrap-distance-right:0.00pt;mso-wrap-distance-bottom:0.00pt;rotation:0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4"/>
                <w:szCs w:val="24"/>
                <w:highlight w:val="none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272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290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314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hyperlink r:id="rId14" w:tooltip="H- und P-Sätze" w:history="1">
              <w:r>
                <w:rPr>
                  <w:rFonts w:ascii="Arial" w:hAnsi="Arial" w:eastAsia="Arial" w:cs="Arial"/>
                  <w:sz w:val="24"/>
                  <w:szCs w:val="24"/>
                </w:rPr>
                <w:t xml:space="preserve">410</w:t>
              </w:r>
            </w:hyperlink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</w:tr>
      <w:tr>
        <w:trPr>
          <w:trHeight w:val="340"/>
        </w:trPr>
        <w:tc>
          <w:tcPr>
            <w:tcBorders/>
            <w:tcW w:w="156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85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</w:r>
          </w:p>
        </w:tc>
        <w:tc>
          <w:tcPr>
            <w:tcBorders/>
            <w:tcW w:w="411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  <w:t xml:space="preserve">P: 210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​-260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-273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280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303+361+353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  <w:r>
              <w:rPr>
                <w:rFonts w:ascii="Arial" w:hAnsi="Arial" w:eastAsia="Arial" w:cs="Arial"/>
                <w:sz w:val="24"/>
                <w:szCs w:val="24"/>
                <w14:ligatures w14:val="none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4"/>
                <w:szCs w:val="24"/>
                <w14:ligatures w14:val="none"/>
              </w:rPr>
            </w:pPr>
            <w:r>
              <w:rPr>
                <w:rFonts w:ascii="Arial" w:hAnsi="Arial" w:eastAsia="Arial" w:cs="Arial"/>
                <w:sz w:val="24"/>
                <w:szCs w:val="24"/>
              </w:rPr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305+351+338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​‐​</w:t>
            </w:r>
            <w:r>
              <w:rPr>
                <w:rFonts w:ascii="Arial" w:hAnsi="Arial" w:eastAsia="Arial" w:cs="Arial"/>
                <w:sz w:val="24"/>
                <w:szCs w:val="24"/>
              </w:rPr>
              <w:t xml:space="preserve">308+310</w:t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  <w:r>
              <w:rPr>
                <w:rFonts w:ascii="Arial" w:hAnsi="Arial" w:cs="Arial"/>
                <w:sz w:val="24"/>
                <w:szCs w:val="24"/>
                <w14:ligatures w14:val="none"/>
              </w:rPr>
            </w:r>
          </w:p>
        </w:tc>
      </w:tr>
    </w:tbl>
    <w:p>
      <w:pPr>
        <w:pBdr/>
        <w:spacing w:after="0" w:line="360" w:lineRule="auto"/>
        <w:ind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  <w:r>
        <w:rPr>
          <w:rFonts w:ascii="Arial" w:hAnsi="Arial" w:cs="Arial"/>
          <w:sz w:val="16"/>
          <w:szCs w:val="16"/>
        </w:rPr>
      </w:r>
    </w:p>
    <w:p>
      <w:pPr>
        <w:pBdr/>
        <w:spacing w:after="0" w:line="360" w:lineRule="auto"/>
        <w:ind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  <w:r>
        <w:rPr>
          <w:rFonts w:ascii="Arial" w:hAnsi="Arial" w:cs="Arial"/>
          <w:sz w:val="24"/>
          <w:szCs w:val="24"/>
          <w:u w:val="single"/>
        </w:rPr>
      </w:r>
    </w:p>
    <w:p>
      <w:pPr>
        <w:pBdr/>
        <w:spacing w:after="0" w:line="360" w:lineRule="auto"/>
        <w:ind/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pPr>
      <w:r>
        <w:rPr>
          <w:rFonts w:ascii="Arial" w:hAnsi="Arial" w:cs="Arial"/>
          <w:sz w:val="24"/>
          <w:szCs w:val="24"/>
          <w:u w:val="single"/>
        </w:rPr>
        <w:t xml:space="preserve">Durchführung:</w:t>
      </w:r>
      <w:r>
        <w:rPr>
          <w:rFonts w:ascii="Arial" w:hAnsi="Arial" w:cs="Arial"/>
          <w:b/>
          <w:bCs/>
          <w:color w:val="0645ad"/>
          <w:sz w:val="19"/>
          <w:szCs w:val="19"/>
          <w:lang w:eastAsia="de-DE"/>
        </w:rPr>
        <w:t xml:space="preserve"> </w:t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  <w:r>
        <w:rPr>
          <w:rFonts w:ascii="Arial" w:hAnsi="Arial" w:cs="Arial"/>
          <w:b/>
          <w:bCs/>
          <w:color w:val="0645ad"/>
          <w:sz w:val="19"/>
          <w:szCs w:val="19"/>
          <w:highlight w:val="none"/>
          <w:lang w:eastAsia="de-DE"/>
        </w:rPr>
      </w:r>
    </w:p>
    <w:p>
      <w:pPr>
        <w:pStyle w:val="871"/>
        <w:numPr>
          <w:ilvl w:val="0"/>
          <w:numId w:val="2"/>
        </w:num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Herstellen einer 1-molaren AgNO</w:t>
      </w:r>
      <w:r>
        <w:rPr>
          <w:rFonts w:ascii="Arial" w:hAnsi="Arial" w:cs="Arial"/>
          <w:sz w:val="24"/>
          <w:szCs w:val="24"/>
          <w:vertAlign w:val="subscript"/>
        </w:rPr>
        <w:t xml:space="preserve">3</w:t>
      </w:r>
      <w:r>
        <w:rPr>
          <w:rFonts w:ascii="Arial" w:hAnsi="Arial" w:cs="Arial"/>
          <w:sz w:val="24"/>
          <w:szCs w:val="24"/>
          <w:vertAlign w:val="baseline"/>
        </w:rPr>
        <w:t xml:space="preserve">-Lösung mit 3,0</w:t>
      </w:r>
      <w:r>
        <w:t xml:space="preserve"> </w:t>
      </w:r>
      <w:r>
        <w:rPr>
          <w:rFonts w:ascii="Arial" w:hAnsi="Arial" w:cs="Arial"/>
          <w:sz w:val="24"/>
          <w:szCs w:val="24"/>
          <w:vertAlign w:val="baseline"/>
        </w:rPr>
        <w:t xml:space="preserve">g </w:t>
      </w:r>
      <w:r>
        <w:rPr>
          <w:rFonts w:ascii="Arial" w:hAnsi="Arial" w:cs="Arial"/>
          <w:sz w:val="24"/>
          <w:szCs w:val="24"/>
          <w:vertAlign w:val="baseline"/>
        </w:rPr>
        <w:t xml:space="preserve">Silbernitrat und 20</w:t>
      </w:r>
      <w:r>
        <w:t xml:space="preserve"> </w:t>
      </w:r>
      <w:r>
        <w:rPr>
          <w:rFonts w:ascii="Arial" w:hAnsi="Arial" w:cs="Arial"/>
          <w:sz w:val="24"/>
          <w:szCs w:val="24"/>
          <w:vertAlign w:val="baseline"/>
        </w:rPr>
        <w:t xml:space="preserve">ml Wasser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2"/>
        </w:num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  <w:vertAlign w:val="baseline"/>
        </w:rPr>
        <w:t xml:space="preserve">Umfüllen der Lösung in die Petrischale</w:t>
      </w:r>
      <w:r>
        <w:rPr>
          <w:rFonts w:ascii="Arial" w:hAnsi="Arial" w:cs="Arial"/>
          <w:sz w:val="24"/>
          <w:szCs w:val="24"/>
          <w:highlight w:val="none"/>
          <w:vertAlign w:val="baseline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2"/>
        </w:num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  <w:vertAlign w:val="baseline"/>
        </w:rPr>
        <w:t xml:space="preserve">Graphit-Elektroden in die Lösung eintauchen</w:t>
      </w:r>
      <w:r>
        <w:rPr>
          <w:rFonts w:ascii="Arial" w:hAnsi="Arial" w:cs="Arial"/>
          <w:sz w:val="24"/>
          <w:szCs w:val="24"/>
          <w:highlight w:val="none"/>
          <w:vertAlign w:val="baseline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2"/>
        </w:numPr>
        <w:pBdr/>
        <w:spacing w:after="0"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  <w:vertAlign w:val="baseline"/>
        </w:rPr>
        <w:t xml:space="preserve">Am Netzgerät eine Gleichspannung von 10,0</w:t>
      </w:r>
      <w:r>
        <w:t xml:space="preserve"> </w:t>
      </w:r>
      <w:r>
        <w:rPr>
          <w:rFonts w:ascii="Arial" w:hAnsi="Arial" w:cs="Arial"/>
          <w:sz w:val="24"/>
          <w:szCs w:val="24"/>
          <w:highlight w:val="none"/>
          <w:vertAlign w:val="baseline"/>
        </w:rPr>
        <w:t xml:space="preserve">V einstellen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spacing w:after="0" w:line="360" w:lineRule="auto"/>
        <w:ind w:firstLine="0"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none"/>
          <w:vertAlign w:val="baseline"/>
        </w:rPr>
      </w:r>
      <w:r>
        <w:rPr>
          <w:rFonts w:ascii="Arial" w:hAnsi="Arial" w:cs="Arial"/>
          <w:sz w:val="24"/>
          <w:szCs w:val="24"/>
          <w:highlight w:val="none"/>
          <w:vertAlign w:val="baseline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tabs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Entsorgung: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2"/>
        </w:numPr>
        <w:pBdr/>
        <w:tabs>
          <w:tab w:val="left" w:leader="none" w:pos="8806"/>
        </w:tabs>
        <w:spacing w:line="276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t xml:space="preserve">In den Abfluss gießen</w:t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2"/>
        </w:numPr>
        <w:pBdr/>
        <w:tabs>
          <w:tab w:val="left" w:leader="none" w:pos="8806"/>
        </w:tabs>
        <w:spacing w:line="276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Auf Kleidung und Hände achten (Versilberung möglich</w:t>
      </w:r>
      <w:r>
        <w:rPr>
          <w:rFonts w:ascii="Arial" w:hAnsi="Arial" w:cs="Arial"/>
          <w:sz w:val="24"/>
          <w:szCs w:val="24"/>
        </w:rPr>
        <w:t xml:space="preserve">)</w:t>
      </w:r>
      <w:r/>
    </w:p>
    <w:p>
      <w:pPr>
        <w:pBdr/>
        <w:tabs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tabs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Aufgaben: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71"/>
        <w:numPr>
          <w:ilvl w:val="0"/>
          <w:numId w:val="3"/>
        </w:numPr>
        <w:pBdr/>
        <w:tabs>
          <w:tab w:val="left" w:leader="none" w:pos="8806"/>
        </w:tabs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/>
        <w:tabs>
          <w:tab w:val="left" w:leader="none" w:pos="8806"/>
        </w:tabs>
        <w:spacing/>
        <w:ind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sectPr>
      <w:footerReference w:type="default" r:id="rId9"/>
      <w:footnotePr/>
      <w:endnotePr/>
      <w:type w:val="nextPage"/>
      <w:pgSz w:h="16838" w:orient="landscape" w:w="11906"/>
      <w:pgMar w:top="851" w:right="1134" w:bottom="397" w:left="1134" w:header="709" w:footer="17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5"/>
      <w:pBdr>
        <w:top w:val="single" w:color="000000" w:sz="4" w:space="1"/>
      </w:pBdr>
      <w:spacing/>
      <w:ind/>
      <w:jc w:val="center"/>
      <w:rPr>
        <w:rFonts w:ascii="Arial" w:hAnsi="Arial" w:cs="Arial"/>
      </w:rPr>
    </w:pPr>
    <w:r>
      <w:rPr>
        <w:rFonts w:ascii="Arial" w:hAnsi="Arial" w:cs="Arial"/>
      </w:rPr>
      <w:t xml:space="preserve">Silberbäumchen-Versuch</w:t>
      <w:tab/>
    </w:r>
    <w:r>
      <w:rPr>
        <w:rFonts w:ascii="Arial" w:hAnsi="Arial" w:cs="Arial"/>
      </w:rPr>
      <w:t xml:space="preserve">                                                                                     </w:t>
    </w:r>
    <w:r>
      <w:rPr>
        <w:rFonts w:ascii="Arial" w:hAnsi="Arial" w:cs="Arial"/>
      </w:rPr>
      <w:t xml:space="preserve">Seite </w:t>
    </w:r>
    <w:r>
      <w:rPr>
        <w:rFonts w:ascii="Arial" w:hAnsi="Arial" w:cs="Arial"/>
        <w:bCs/>
      </w:rPr>
      <w:fldChar w:fldCharType="begin"/>
    </w:r>
    <w:r>
      <w:rPr>
        <w:rFonts w:ascii="Arial" w:hAnsi="Arial" w:cs="Arial"/>
        <w:bCs/>
      </w:rPr>
      <w:instrText xml:space="preserve">PAGE  \* Arabic  \* MERGEFORMAT</w:instrText>
    </w:r>
    <w:r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</w:rPr>
      <w:t xml:space="preserve">1</w:t>
    </w:r>
    <w:r>
      <w:rPr>
        <w:rFonts w:ascii="Arial" w:hAnsi="Arial" w:cs="Arial"/>
        <w:bCs/>
      </w:rPr>
      <w:fldChar w:fldCharType="end"/>
    </w:r>
    <w:r>
      <w:rPr>
        <w:rFonts w:ascii="Arial" w:hAnsi="Arial" w:cs="Arial"/>
      </w:rPr>
      <w:t xml:space="preserve"> von </w:t>
    </w:r>
    <w:r>
      <w:rPr>
        <w:rFonts w:ascii="Arial" w:hAnsi="Arial" w:cs="Arial"/>
        <w:bCs/>
      </w:rPr>
      <w:fldChar w:fldCharType="begin"/>
    </w:r>
    <w:r>
      <w:rPr>
        <w:rFonts w:ascii="Arial" w:hAnsi="Arial" w:cs="Arial"/>
        <w:bCs/>
      </w:rPr>
      <w:instrText xml:space="preserve">NUMPAGES  \* Arabic  \* MERGEFORMAT</w:instrText>
    </w:r>
    <w:r>
      <w:rPr>
        <w:rFonts w:ascii="Arial" w:hAnsi="Arial" w:cs="Arial"/>
        <w:bCs/>
      </w:rPr>
      <w:fldChar w:fldCharType="separate"/>
    </w:r>
    <w:r>
      <w:rPr>
        <w:rFonts w:ascii="Arial" w:hAnsi="Arial" w:cs="Arial"/>
        <w:bCs/>
      </w:rPr>
      <w:t xml:space="preserve">1</w:t>
    </w:r>
    <w:r>
      <w:rPr>
        <w:rFonts w:ascii="Arial" w:hAnsi="Arial" w:cs="Arial"/>
        <w:bCs/>
      </w:rPr>
      <w:fldChar w:fldCharType="end"/>
    </w:r>
    <w:r>
      <w:rPr>
        <w:rFonts w:ascii="Arial" w:hAnsi="Arial" w:cs="Arial"/>
      </w:rPr>
    </w:r>
    <w:r>
      <w:rPr>
        <w:rFonts w:ascii="Arial" w:hAnsi="Arial" w:cs="Arial"/>
      </w:rPr>
    </w:r>
  </w:p>
  <w:p>
    <w:pPr>
      <w:pStyle w:val="875"/>
      <w:pBdr/>
      <w:spacing/>
      <w:ind/>
      <w:jc w:val="right"/>
      <w:rPr>
        <w:rFonts w:ascii="Arial" w:hAnsi="Arial" w:cs="Arial"/>
      </w:rPr>
    </w:pPr>
    <w:r>
      <w:rPr>
        <w:rFonts w:ascii="Arial" w:hAnsi="Arial" w:cs="Arial"/>
      </w:rPr>
    </w:r>
    <w:r>
      <w:rPr>
        <w:rFonts w:ascii="Arial" w:hAnsi="Arial" w:cs="Arial"/>
      </w:rPr>
    </w:r>
    <w:r>
      <w:rPr>
        <w:rFonts w:ascii="Arial" w:hAnsi="Arial" w:cs="Arial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rial" w:hAnsi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3">
    <w:name w:val="Heading 1"/>
    <w:basedOn w:val="867"/>
    <w:next w:val="867"/>
    <w:link w:val="69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4">
    <w:name w:val="Heading 1 Char"/>
    <w:basedOn w:val="868"/>
    <w:link w:val="69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95">
    <w:name w:val="Heading 2"/>
    <w:basedOn w:val="867"/>
    <w:next w:val="867"/>
    <w:link w:val="69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96">
    <w:name w:val="Heading 2 Char"/>
    <w:basedOn w:val="868"/>
    <w:link w:val="69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97">
    <w:name w:val="Heading 3"/>
    <w:basedOn w:val="867"/>
    <w:next w:val="867"/>
    <w:link w:val="69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98">
    <w:name w:val="Heading 3 Char"/>
    <w:basedOn w:val="868"/>
    <w:link w:val="69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9">
    <w:name w:val="Heading 4"/>
    <w:basedOn w:val="867"/>
    <w:next w:val="867"/>
    <w:link w:val="70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0">
    <w:name w:val="Heading 4 Char"/>
    <w:basedOn w:val="868"/>
    <w:link w:val="69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1">
    <w:name w:val="Heading 5"/>
    <w:basedOn w:val="867"/>
    <w:next w:val="867"/>
    <w:link w:val="70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2">
    <w:name w:val="Heading 5 Char"/>
    <w:basedOn w:val="868"/>
    <w:link w:val="70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3">
    <w:name w:val="Heading 6"/>
    <w:basedOn w:val="867"/>
    <w:next w:val="867"/>
    <w:link w:val="70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4">
    <w:name w:val="Heading 6 Char"/>
    <w:basedOn w:val="868"/>
    <w:link w:val="70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05">
    <w:name w:val="Heading 7"/>
    <w:basedOn w:val="867"/>
    <w:next w:val="867"/>
    <w:link w:val="70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6">
    <w:name w:val="Heading 7 Char"/>
    <w:basedOn w:val="868"/>
    <w:link w:val="70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7">
    <w:name w:val="Heading 8"/>
    <w:basedOn w:val="867"/>
    <w:next w:val="867"/>
    <w:link w:val="7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8">
    <w:name w:val="Heading 8 Char"/>
    <w:basedOn w:val="868"/>
    <w:link w:val="70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9">
    <w:name w:val="Heading 9"/>
    <w:basedOn w:val="867"/>
    <w:next w:val="867"/>
    <w:link w:val="71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0">
    <w:name w:val="Heading 9 Char"/>
    <w:basedOn w:val="868"/>
    <w:link w:val="70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1">
    <w:name w:val="No Spacing"/>
    <w:uiPriority w:val="1"/>
    <w:qFormat/>
    <w:pPr>
      <w:pBdr/>
      <w:spacing w:after="0" w:before="0" w:line="240" w:lineRule="auto"/>
      <w:ind/>
    </w:pPr>
  </w:style>
  <w:style w:type="paragraph" w:styleId="712">
    <w:name w:val="Title"/>
    <w:basedOn w:val="867"/>
    <w:next w:val="867"/>
    <w:link w:val="7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3">
    <w:name w:val="Title Char"/>
    <w:basedOn w:val="868"/>
    <w:link w:val="712"/>
    <w:uiPriority w:val="10"/>
    <w:pPr>
      <w:pBdr/>
      <w:spacing/>
      <w:ind/>
    </w:pPr>
    <w:rPr>
      <w:sz w:val="48"/>
      <w:szCs w:val="48"/>
    </w:rPr>
  </w:style>
  <w:style w:type="paragraph" w:styleId="714">
    <w:name w:val="Subtitle"/>
    <w:basedOn w:val="867"/>
    <w:next w:val="867"/>
    <w:link w:val="71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5">
    <w:name w:val="Subtitle Char"/>
    <w:basedOn w:val="868"/>
    <w:link w:val="714"/>
    <w:uiPriority w:val="11"/>
    <w:pPr>
      <w:pBdr/>
      <w:spacing/>
      <w:ind/>
    </w:pPr>
    <w:rPr>
      <w:sz w:val="24"/>
      <w:szCs w:val="24"/>
    </w:rPr>
  </w:style>
  <w:style w:type="paragraph" w:styleId="716">
    <w:name w:val="Quote"/>
    <w:basedOn w:val="867"/>
    <w:next w:val="867"/>
    <w:link w:val="717"/>
    <w:uiPriority w:val="29"/>
    <w:qFormat/>
    <w:pPr>
      <w:pBdr/>
      <w:spacing/>
      <w:ind w:right="720" w:left="720"/>
    </w:pPr>
    <w:rPr>
      <w:i/>
    </w:rPr>
  </w:style>
  <w:style w:type="character" w:styleId="717">
    <w:name w:val="Quote Char"/>
    <w:link w:val="716"/>
    <w:uiPriority w:val="29"/>
    <w:pPr>
      <w:pBdr/>
      <w:spacing/>
      <w:ind/>
    </w:pPr>
    <w:rPr>
      <w:i/>
    </w:rPr>
  </w:style>
  <w:style w:type="paragraph" w:styleId="718">
    <w:name w:val="Intense Quote"/>
    <w:basedOn w:val="867"/>
    <w:next w:val="867"/>
    <w:link w:val="7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19">
    <w:name w:val="Intense Quote Char"/>
    <w:link w:val="718"/>
    <w:uiPriority w:val="30"/>
    <w:pPr>
      <w:pBdr/>
      <w:spacing/>
      <w:ind/>
    </w:pPr>
    <w:rPr>
      <w:i/>
    </w:rPr>
  </w:style>
  <w:style w:type="character" w:styleId="720">
    <w:name w:val="Header Char"/>
    <w:basedOn w:val="868"/>
    <w:link w:val="873"/>
    <w:uiPriority w:val="99"/>
    <w:pPr>
      <w:pBdr/>
      <w:spacing/>
      <w:ind/>
    </w:pPr>
  </w:style>
  <w:style w:type="character" w:styleId="721">
    <w:name w:val="Footer Char"/>
    <w:basedOn w:val="868"/>
    <w:link w:val="875"/>
    <w:uiPriority w:val="99"/>
    <w:pPr>
      <w:pBdr/>
      <w:spacing/>
      <w:ind/>
    </w:pPr>
  </w:style>
  <w:style w:type="paragraph" w:styleId="722">
    <w:name w:val="Caption"/>
    <w:basedOn w:val="867"/>
    <w:next w:val="86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875"/>
    <w:uiPriority w:val="99"/>
    <w:pPr>
      <w:pBdr/>
      <w:spacing/>
      <w:ind/>
    </w:pPr>
  </w:style>
  <w:style w:type="table" w:styleId="724">
    <w:name w:val="Table Grid Light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1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2"/>
    <w:basedOn w:val="86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Plain Table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1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2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3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4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5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4 - Accent 6"/>
    <w:basedOn w:val="86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1 Light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2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3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4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5 Dark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6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7 Colorful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1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2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3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4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5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&amp; Lined - Accent 6"/>
    <w:basedOn w:val="86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1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2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3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4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5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- Accent 6"/>
    <w:basedOn w:val="86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9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0">
    <w:name w:val="footnote text"/>
    <w:basedOn w:val="867"/>
    <w:link w:val="85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1">
    <w:name w:val="Footnote Text Char"/>
    <w:link w:val="850"/>
    <w:uiPriority w:val="99"/>
    <w:pPr>
      <w:pBdr/>
      <w:spacing/>
      <w:ind/>
    </w:pPr>
    <w:rPr>
      <w:sz w:val="18"/>
    </w:rPr>
  </w:style>
  <w:style w:type="character" w:styleId="852">
    <w:name w:val="footnote reference"/>
    <w:basedOn w:val="868"/>
    <w:uiPriority w:val="99"/>
    <w:unhideWhenUsed/>
    <w:pPr>
      <w:pBdr/>
      <w:spacing/>
      <w:ind/>
    </w:pPr>
    <w:rPr>
      <w:vertAlign w:val="superscript"/>
    </w:rPr>
  </w:style>
  <w:style w:type="paragraph" w:styleId="853">
    <w:name w:val="endnote text"/>
    <w:basedOn w:val="867"/>
    <w:link w:val="854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54">
    <w:name w:val="Endnote Text Char"/>
    <w:link w:val="853"/>
    <w:uiPriority w:val="99"/>
    <w:pPr>
      <w:pBdr/>
      <w:spacing/>
      <w:ind/>
    </w:pPr>
    <w:rPr>
      <w:sz w:val="20"/>
    </w:rPr>
  </w:style>
  <w:style w:type="character" w:styleId="855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856">
    <w:name w:val="toc 1"/>
    <w:basedOn w:val="867"/>
    <w:next w:val="867"/>
    <w:uiPriority w:val="39"/>
    <w:unhideWhenUsed/>
    <w:pPr>
      <w:pBdr/>
      <w:spacing w:after="57"/>
      <w:ind w:right="0" w:firstLine="0" w:left="0"/>
    </w:pPr>
  </w:style>
  <w:style w:type="paragraph" w:styleId="857">
    <w:name w:val="toc 2"/>
    <w:basedOn w:val="867"/>
    <w:next w:val="867"/>
    <w:uiPriority w:val="39"/>
    <w:unhideWhenUsed/>
    <w:pPr>
      <w:pBdr/>
      <w:spacing w:after="57"/>
      <w:ind w:right="0" w:firstLine="0" w:left="283"/>
    </w:pPr>
  </w:style>
  <w:style w:type="paragraph" w:styleId="858">
    <w:name w:val="toc 3"/>
    <w:basedOn w:val="867"/>
    <w:next w:val="867"/>
    <w:uiPriority w:val="39"/>
    <w:unhideWhenUsed/>
    <w:pPr>
      <w:pBdr/>
      <w:spacing w:after="57"/>
      <w:ind w:right="0" w:firstLine="0" w:left="567"/>
    </w:pPr>
  </w:style>
  <w:style w:type="paragraph" w:styleId="859">
    <w:name w:val="toc 4"/>
    <w:basedOn w:val="867"/>
    <w:next w:val="867"/>
    <w:uiPriority w:val="39"/>
    <w:unhideWhenUsed/>
    <w:pPr>
      <w:pBdr/>
      <w:spacing w:after="57"/>
      <w:ind w:right="0" w:firstLine="0" w:left="850"/>
    </w:pPr>
  </w:style>
  <w:style w:type="paragraph" w:styleId="860">
    <w:name w:val="toc 5"/>
    <w:basedOn w:val="867"/>
    <w:next w:val="867"/>
    <w:uiPriority w:val="39"/>
    <w:unhideWhenUsed/>
    <w:pPr>
      <w:pBdr/>
      <w:spacing w:after="57"/>
      <w:ind w:right="0" w:firstLine="0" w:left="1134"/>
    </w:pPr>
  </w:style>
  <w:style w:type="paragraph" w:styleId="861">
    <w:name w:val="toc 6"/>
    <w:basedOn w:val="867"/>
    <w:next w:val="867"/>
    <w:uiPriority w:val="39"/>
    <w:unhideWhenUsed/>
    <w:pPr>
      <w:pBdr/>
      <w:spacing w:after="57"/>
      <w:ind w:right="0" w:firstLine="0" w:left="1417"/>
    </w:pPr>
  </w:style>
  <w:style w:type="paragraph" w:styleId="862">
    <w:name w:val="toc 7"/>
    <w:basedOn w:val="867"/>
    <w:next w:val="867"/>
    <w:uiPriority w:val="39"/>
    <w:unhideWhenUsed/>
    <w:pPr>
      <w:pBdr/>
      <w:spacing w:after="57"/>
      <w:ind w:right="0" w:firstLine="0" w:left="1701"/>
    </w:pPr>
  </w:style>
  <w:style w:type="paragraph" w:styleId="863">
    <w:name w:val="toc 8"/>
    <w:basedOn w:val="867"/>
    <w:next w:val="867"/>
    <w:uiPriority w:val="39"/>
    <w:unhideWhenUsed/>
    <w:pPr>
      <w:pBdr/>
      <w:spacing w:after="57"/>
      <w:ind w:right="0" w:firstLine="0" w:left="1984"/>
    </w:pPr>
  </w:style>
  <w:style w:type="paragraph" w:styleId="864">
    <w:name w:val="toc 9"/>
    <w:basedOn w:val="867"/>
    <w:next w:val="867"/>
    <w:uiPriority w:val="39"/>
    <w:unhideWhenUsed/>
    <w:pPr>
      <w:pBdr/>
      <w:spacing w:after="57"/>
      <w:ind w:right="0" w:firstLine="0" w:left="2268"/>
    </w:pPr>
  </w:style>
  <w:style w:type="paragraph" w:styleId="865">
    <w:name w:val="TOC Heading"/>
    <w:uiPriority w:val="39"/>
    <w:unhideWhenUsed/>
    <w:pPr>
      <w:pBdr/>
      <w:spacing/>
      <w:ind/>
    </w:pPr>
  </w:style>
  <w:style w:type="paragraph" w:styleId="866">
    <w:name w:val="table of figures"/>
    <w:basedOn w:val="867"/>
    <w:next w:val="867"/>
    <w:uiPriority w:val="99"/>
    <w:unhideWhenUsed/>
    <w:pPr>
      <w:pBdr/>
      <w:spacing w:after="0" w:afterAutospacing="0"/>
      <w:ind/>
    </w:pPr>
  </w:style>
  <w:style w:type="paragraph" w:styleId="867" w:default="1">
    <w:name w:val="Normal"/>
    <w:qFormat/>
    <w:pPr>
      <w:pBdr/>
      <w:spacing/>
      <w:ind/>
    </w:p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table" w:styleId="86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0" w:default="1">
    <w:name w:val="No List"/>
    <w:uiPriority w:val="99"/>
    <w:semiHidden/>
    <w:unhideWhenUsed/>
    <w:pPr>
      <w:pBdr/>
      <w:spacing/>
      <w:ind/>
    </w:pPr>
  </w:style>
  <w:style w:type="paragraph" w:styleId="871">
    <w:name w:val="List Paragraph"/>
    <w:basedOn w:val="867"/>
    <w:uiPriority w:val="34"/>
    <w:qFormat/>
    <w:pPr>
      <w:pBdr/>
      <w:spacing/>
      <w:ind w:left="720"/>
      <w:contextualSpacing w:val="true"/>
    </w:pPr>
  </w:style>
  <w:style w:type="table" w:styleId="872">
    <w:name w:val="Table Grid"/>
    <w:basedOn w:val="86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3">
    <w:name w:val="Header"/>
    <w:basedOn w:val="867"/>
    <w:link w:val="874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874" w:customStyle="1">
    <w:name w:val="Kopfzeile Zchn"/>
    <w:basedOn w:val="868"/>
    <w:link w:val="873"/>
    <w:uiPriority w:val="99"/>
    <w:pPr>
      <w:pBdr/>
      <w:spacing/>
      <w:ind/>
    </w:pPr>
  </w:style>
  <w:style w:type="paragraph" w:styleId="875">
    <w:name w:val="Footer"/>
    <w:basedOn w:val="867"/>
    <w:link w:val="876"/>
    <w:uiPriority w:val="99"/>
    <w:unhideWhenUsed/>
    <w:pPr>
      <w:pBdr/>
      <w:tabs>
        <w:tab w:val="center" w:leader="none" w:pos="4536"/>
        <w:tab w:val="right" w:leader="none" w:pos="9072"/>
      </w:tabs>
      <w:spacing w:after="0" w:line="240" w:lineRule="auto"/>
      <w:ind/>
    </w:pPr>
  </w:style>
  <w:style w:type="character" w:styleId="876" w:customStyle="1">
    <w:name w:val="Fußzeile Zchn"/>
    <w:basedOn w:val="868"/>
    <w:link w:val="875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yperlink" Target="https://de.wikipedia.org/wiki/H-_und_P-S%C3%A4tze#H-S%C3%A4tz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B6C87-89A5-42CD-B3C7-109F42C0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11</cp:revision>
  <dcterms:created xsi:type="dcterms:W3CDTF">2019-04-07T14:43:00Z</dcterms:created>
  <dcterms:modified xsi:type="dcterms:W3CDTF">2024-09-15T15:41:20Z</dcterms:modified>
</cp:coreProperties>
</file>