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sz w:val="36"/>
        </w:rPr>
        <w:t>India Labor Arbitrage Program — Reporting Guiding Principles ("Rules of the Road")</w:t>
      </w:r>
    </w:p>
    <w:p>
      <w:pPr>
        <w:spacing w:after="240"/>
      </w:pPr>
      <w:r>
        <w:rPr>
          <w:b/>
          <w:color w:val="C00000"/>
          <w:sz w:val="20"/>
        </w:rPr>
        <w:t>STATUS: DRAFT for Finance Senior Manager review.</w:t>
      </w:r>
      <w:r>
        <w:rPr>
          <w:color w:val="C00000"/>
          <w:sz w:val="20"/>
        </w:rPr>
        <w:t xml:space="preserve"> Not yet endorsed by India program leadership or Technology Finance leadership. Items requiring a leadership decision are flagged </w:t>
      </w:r>
      <w:r>
        <w:rPr>
          <w:b/>
          <w:color w:val="C00000"/>
          <w:sz w:val="20"/>
        </w:rPr>
        <w:t>[LEADERSHIP DECISION]</w:t>
      </w:r>
      <w:r>
        <w:rPr>
          <w:color w:val="C00000"/>
          <w:sz w:val="20"/>
        </w:rPr>
        <w:t>. Version 0.1 — July 15, 2026.</w:t>
      </w:r>
    </w:p>
    <w:p>
      <w:pPr>
        <w:pStyle w:val="Heading1"/>
      </w:pPr>
      <w:r>
        <w:t>1. Purpose and scope</w:t>
      </w:r>
    </w:p>
    <w:p>
      <w:pPr>
        <w:spacing w:after="120"/>
      </w:pPr>
      <w:r>
        <w:t>These principles govern how the ~8 CTO organizations report monthly India hiring and labor arbitrage results into the consolidated program tracker. Their goal is a single, consistent, auditable definition of "savings" so that consolidated results credibly support corporate reporting and so that no organization is advantaged or disadvantaged by a more (or less) aggressive interpretation.</w:t>
      </w:r>
    </w:p>
    <w:p>
      <w:pPr>
        <w:spacing w:after="120"/>
      </w:pPr>
      <w:r>
        <w:t xml:space="preserve">They apply to all metrics submitted in the monthly consolidation workbook. They do not replace the corporate forecast process; they define how program results are measured </w:t>
      </w:r>
      <w:r>
        <w:rPr>
          <w:i/>
        </w:rPr>
        <w:t>within</w:t>
      </w:r>
      <w:r>
        <w:t xml:space="preserve"> it.</w:t>
      </w:r>
    </w:p>
    <w:p>
      <w:pPr>
        <w:pStyle w:val="Heading1"/>
      </w:pPr>
      <w:r>
        <w:t>2. The baseline</w:t>
      </w:r>
    </w:p>
    <w:p>
      <w:pPr>
        <w:spacing w:after="120"/>
        <w:ind w:left="360"/>
      </w:pPr>
      <w:r>
        <w:t xml:space="preserve">1. </w:t>
      </w:r>
      <w:r>
        <w:rPr>
          <w:b/>
        </w:rPr>
        <w:t>The baseline is the committed monthly target</w:t>
      </w:r>
      <w:r>
        <w:t xml:space="preserve"> for India hires, resource reductions by labor type, and labor arbitrage dollars, as loaded into each org's quarterly forecast. All variances are measured against this baseline.</w:t>
      </w:r>
    </w:p>
    <w:p>
      <w:pPr>
        <w:spacing w:after="120"/>
        <w:ind w:left="360"/>
      </w:pPr>
      <w:r>
        <w:t xml:space="preserve">2. The baseline </w:t>
      </w:r>
      <w:r>
        <w:rPr>
          <w:b/>
        </w:rPr>
        <w:t>does not move</w:t>
      </w:r>
      <w:r>
        <w:t xml:space="preserve"> with re-forecasts, reorganizations, or budget transfers. It changes only through the formal change request process (Section 7).</w:t>
      </w:r>
    </w:p>
    <w:p>
      <w:pPr>
        <w:spacing w:after="120"/>
        <w:ind w:left="360"/>
      </w:pPr>
      <w:r>
        <w:t xml:space="preserve">3. Prior-year comparisons, budget-vs-actual favorability, and re-forecast improvements are </w:t>
      </w:r>
      <w:r>
        <w:rPr>
          <w:b/>
        </w:rPr>
        <w:t>not</w:t>
      </w:r>
      <w:r>
        <w:t xml:space="preserve"> program savings. Savings exist only relative to the committed baseline.</w:t>
      </w:r>
    </w:p>
    <w:p>
      <w:pPr>
        <w:pStyle w:val="Heading1"/>
      </w:pPr>
      <w:r>
        <w:t>3. What counts as labor arbitrage savings</w:t>
      </w:r>
    </w:p>
    <w:p>
      <w:pPr>
        <w:spacing w:after="120"/>
      </w:pPr>
      <w:r>
        <w:t xml:space="preserve">A reported reduction counts toward labor arbitrage achievement only if </w:t>
      </w:r>
      <w:r>
        <w:rPr>
          <w:b/>
        </w:rPr>
        <w:t>all</w:t>
      </w:r>
      <w:r>
        <w:t xml:space="preserve"> of the following are true:</w:t>
      </w:r>
    </w:p>
    <w:p>
      <w:pPr>
        <w:spacing w:after="120"/>
        <w:ind w:left="360"/>
      </w:pPr>
      <w:r>
        <w:t xml:space="preserve">1. </w:t>
      </w:r>
      <w:r>
        <w:rPr>
          <w:b/>
        </w:rPr>
        <w:t>It is a labor cost</w:t>
      </w:r>
      <w:r>
        <w:t xml:space="preserve"> in one of the committed reduction categories:</w:t>
      </w:r>
    </w:p>
    <w:p>
      <w:pPr>
        <w:pStyle w:val="ListBullet2"/>
      </w:pPr>
      <w:r>
        <w:t>Third-party professional services (consulting / project-based)</w:t>
      </w:r>
    </w:p>
    <w:p>
      <w:pPr>
        <w:pStyle w:val="ListBullet2"/>
      </w:pPr>
      <w:r>
        <w:t>Managed services / outsourced labor contracts (labor component)</w:t>
      </w:r>
    </w:p>
    <w:p>
      <w:pPr>
        <w:pStyle w:val="ListBullet2"/>
      </w:pPr>
      <w:r>
        <w:t>Offshore contractors (staff augmentation)</w:t>
      </w:r>
    </w:p>
    <w:p>
      <w:pPr>
        <w:pStyle w:val="ListBullet2"/>
      </w:pPr>
      <w:r>
        <w:t>Onshore contractors (staff augmentation)</w:t>
      </w:r>
    </w:p>
    <w:p>
      <w:pPr>
        <w:pStyle w:val="ListBullet2"/>
      </w:pPr>
      <w:r>
        <w:t>In-scope employee positions (attrition-based or managed reductions explicitly in the org's commitment)</w:t>
      </w:r>
    </w:p>
    <w:p>
      <w:pPr>
        <w:spacing w:after="120"/>
        <w:ind w:left="360"/>
      </w:pPr>
      <w:r>
        <w:t xml:space="preserve">2. </w:t>
      </w:r>
      <w:r>
        <w:rPr>
          <w:b/>
        </w:rPr>
        <w:t>It is causally tied to the India transition</w:t>
      </w:r>
      <w:r>
        <w:t xml:space="preserve"> — the work formerly performed by the reduced resource has transitioned to (or been absorbed by) the India team, or the resource was explicitly in the org's committed reduction plan.</w:t>
      </w:r>
    </w:p>
    <w:p>
      <w:pPr>
        <w:spacing w:after="120"/>
        <w:ind w:left="360"/>
      </w:pPr>
      <w:r>
        <w:t xml:space="preserve">3. </w:t>
      </w:r>
      <w:r>
        <w:rPr>
          <w:b/>
        </w:rPr>
        <w:t>It is realized, not planned</w:t>
      </w:r>
      <w:r>
        <w:t xml:space="preserve"> — the reduction is visible in the general ledger (the org can identify the cost center and expense line where run-rate spend declined). Signed contract amendments, notified vendors, and "will roll off next quarter" are pipeline, not achievement.</w:t>
      </w:r>
    </w:p>
    <w:p>
      <w:pPr>
        <w:spacing w:after="120"/>
        <w:ind w:left="360"/>
      </w:pPr>
      <w:r>
        <w:t xml:space="preserve">4. </w:t>
      </w:r>
      <w:r>
        <w:rPr>
          <w:b/>
        </w:rPr>
        <w:t>It is run-rate in nature</w:t>
      </w:r>
      <w:r>
        <w:t xml:space="preserve"> — the cost does not return once reported as reduced. One-time deferrals are excluded (Section 4).</w:t>
      </w:r>
    </w:p>
    <w:p>
      <w:pPr>
        <w:spacing w:after="120"/>
        <w:ind w:left="360"/>
      </w:pPr>
      <w:r>
        <w:t xml:space="preserve">5. </w:t>
      </w:r>
      <w:r>
        <w:rPr>
          <w:b/>
        </w:rPr>
        <w:t>It is measured net</w:t>
      </w:r>
      <w:r>
        <w:t xml:space="preserve"> — consolidated labor arbitrage = gross reductions </w:t>
      </w:r>
      <w:r>
        <w:rPr>
          <w:b/>
        </w:rPr>
        <w:t>minus</w:t>
      </w:r>
      <w:r>
        <w:t xml:space="preserve"> India cost adds (loaded comp of India hires plus recurring India operating costs allocated to the program). Orgs report gross reductions and India adds separately; the tracker computes net.</w:t>
      </w:r>
    </w:p>
    <w:p>
      <w:pPr>
        <w:pStyle w:val="Heading1"/>
      </w:pPr>
      <w:r>
        <w:t>4. What does NOT count</w:t>
      </w:r>
    </w:p>
    <w:p>
      <w:pPr>
        <w:spacing w:after="120"/>
      </w:pPr>
      <w:r>
        <w:t xml:space="preserve">The following may be legitimate favorability for the org's forecast, but they are </w:t>
      </w:r>
      <w:r>
        <w:rPr>
          <w:b/>
        </w:rPr>
        <w:t>not</w:t>
      </w:r>
      <w:r>
        <w:t xml:space="preserve"> India labor arbitrage and may not be reported as such:</w:t>
      </w:r>
    </w:p>
    <w:tbl>
      <w:tblPr>
        <w:tblStyle w:val="TableGrid"/>
        <w:tblW w:type="auto" w:w="0"/>
        <w:jc w:val="center"/>
        <w:tblLook w:firstColumn="1" w:firstRow="1" w:lastColumn="0" w:lastRow="0" w:noHBand="0" w:noVBand="1" w:val="04A0"/>
      </w:tblPr>
      <w:tblGrid>
        <w:gridCol w:w="4320"/>
        <w:gridCol w:w="4320"/>
      </w:tblGrid>
      <w:tr>
        <w:tc>
          <w:tcPr>
            <w:tcW w:type="dxa" w:w="4320"/>
            <w:shd w:fill="1F3864"/>
          </w:tcPr>
          <w:p>
            <w:r>
              <w:rPr>
                <w:b/>
                <w:color w:val="FFFFFF"/>
                <w:sz w:val="20"/>
              </w:rPr>
            </w:r>
            <w:r>
              <w:rPr>
                <w:b/>
                <w:color w:val="FFFFFF"/>
                <w:sz w:val="20"/>
              </w:rPr>
              <w:t>Excluded item</w:t>
            </w:r>
          </w:p>
        </w:tc>
        <w:tc>
          <w:tcPr>
            <w:tcW w:type="dxa" w:w="4320"/>
            <w:shd w:fill="1F3864"/>
          </w:tcPr>
          <w:p>
            <w:r>
              <w:rPr>
                <w:b/>
                <w:color w:val="FFFFFF"/>
                <w:sz w:val="20"/>
              </w:rPr>
            </w:r>
            <w:r>
              <w:rPr>
                <w:b/>
                <w:color w:val="FFFFFF"/>
                <w:sz w:val="20"/>
              </w:rPr>
              <w:t>Rationale</w:t>
            </w:r>
          </w:p>
        </w:tc>
      </w:tr>
      <w:tr>
        <w:tc>
          <w:tcPr>
            <w:tcW w:type="dxa" w:w="4320"/>
          </w:tcPr>
          <w:p>
            <w:r>
              <w:rPr>
                <w:sz w:val="20"/>
              </w:rPr>
            </w:r>
            <w:r>
              <w:rPr>
                <w:b/>
                <w:sz w:val="20"/>
              </w:rPr>
              <w:t>Software license / SaaS favorability</w:t>
            </w:r>
          </w:p>
        </w:tc>
        <w:tc>
          <w:tcPr>
            <w:tcW w:type="dxa" w:w="4320"/>
          </w:tcPr>
          <w:p>
            <w:r>
              <w:rPr>
                <w:sz w:val="20"/>
              </w:rPr>
            </w:r>
            <w:r>
              <w:rPr>
                <w:sz w:val="20"/>
              </w:rPr>
              <w:t xml:space="preserve">Not a labor cost. An org that is on track for India hiring but short on labor reductions may </w:t>
            </w:r>
            <w:r>
              <w:rPr>
                <w:b/>
                <w:sz w:val="20"/>
              </w:rPr>
              <w:t>not</w:t>
            </w:r>
            <w:r>
              <w:rPr>
                <w:sz w:val="20"/>
              </w:rPr>
              <w:t xml:space="preserve"> substitute software savings to close the gap — the program measures labor mix shift, not total cost favorability.</w:t>
            </w:r>
          </w:p>
        </w:tc>
      </w:tr>
      <w:tr>
        <w:tc>
          <w:tcPr>
            <w:tcW w:type="dxa" w:w="4320"/>
          </w:tcPr>
          <w:p>
            <w:r>
              <w:rPr>
                <w:sz w:val="20"/>
              </w:rPr>
            </w:r>
            <w:r>
              <w:rPr>
                <w:sz w:val="20"/>
              </w:rPr>
              <w:t>Hardware, infrastructure, cloud, market data, or any other non-labor spend</w:t>
            </w:r>
          </w:p>
        </w:tc>
        <w:tc>
          <w:tcPr>
            <w:tcW w:type="dxa" w:w="4320"/>
          </w:tcPr>
          <w:p>
            <w:r>
              <w:rPr>
                <w:sz w:val="20"/>
              </w:rPr>
            </w:r>
            <w:r>
              <w:rPr>
                <w:sz w:val="20"/>
              </w:rPr>
              <w:t>Same rationale — out of category.</w:t>
            </w:r>
          </w:p>
        </w:tc>
      </w:tr>
      <w:tr>
        <w:tc>
          <w:tcPr>
            <w:tcW w:type="dxa" w:w="4320"/>
          </w:tcPr>
          <w:p>
            <w:r>
              <w:rPr>
                <w:sz w:val="20"/>
              </w:rPr>
            </w:r>
            <w:r>
              <w:rPr>
                <w:sz w:val="20"/>
              </w:rPr>
              <w:t>One-time vendor credits, rebates, penalty recoveries, or true-up adjustments</w:t>
            </w:r>
          </w:p>
        </w:tc>
        <w:tc>
          <w:tcPr>
            <w:tcW w:type="dxa" w:w="4320"/>
          </w:tcPr>
          <w:p>
            <w:r>
              <w:rPr>
                <w:sz w:val="20"/>
              </w:rPr>
            </w:r>
            <w:r>
              <w:rPr>
                <w:sz w:val="20"/>
              </w:rPr>
              <w:t>Not run-rate; not caused by the transition.</w:t>
            </w:r>
          </w:p>
        </w:tc>
      </w:tr>
      <w:tr>
        <w:tc>
          <w:tcPr>
            <w:tcW w:type="dxa" w:w="4320"/>
          </w:tcPr>
          <w:p>
            <w:r>
              <w:rPr>
                <w:sz w:val="20"/>
              </w:rPr>
            </w:r>
            <w:r>
              <w:rPr>
                <w:sz w:val="20"/>
              </w:rPr>
              <w:t xml:space="preserve">Rate renegotiations on retained vendors </w:t>
            </w:r>
            <w:r>
              <w:rPr>
                <w:i/>
                <w:sz w:val="20"/>
              </w:rPr>
              <w:t>not</w:t>
            </w:r>
            <w:r>
              <w:rPr>
                <w:sz w:val="20"/>
              </w:rPr>
              <w:t xml:space="preserve"> linked to volume reduction from transition</w:t>
            </w:r>
          </w:p>
        </w:tc>
        <w:tc>
          <w:tcPr>
            <w:tcW w:type="dxa" w:w="4320"/>
          </w:tcPr>
          <w:p>
            <w:r>
              <w:rPr>
                <w:sz w:val="20"/>
              </w:rPr>
            </w:r>
            <w:r>
              <w:rPr>
                <w:sz w:val="20"/>
              </w:rPr>
              <w:t xml:space="preserve">Procurement savings, not arbitrage. (Rate reductions obtained </w:t>
            </w:r>
            <w:r>
              <w:rPr>
                <w:i/>
                <w:sz w:val="20"/>
              </w:rPr>
              <w:t>because</w:t>
            </w:r>
            <w:r>
              <w:rPr>
                <w:sz w:val="20"/>
              </w:rPr>
              <w:t xml:space="preserve"> transitioned volume shrank the contract may count — flag for review.) </w:t>
            </w:r>
            <w:r>
              <w:rPr>
                <w:b/>
                <w:color w:val="C00000"/>
                <w:sz w:val="20"/>
              </w:rPr>
              <w:t>[LEADERSHIP DECISION]</w:t>
            </w:r>
            <w:r>
              <w:rPr>
                <w:sz w:val="20"/>
              </w:rPr>
              <w:t xml:space="preserve"> on the boundary.</w:t>
            </w:r>
          </w:p>
        </w:tc>
      </w:tr>
      <w:tr>
        <w:tc>
          <w:tcPr>
            <w:tcW w:type="dxa" w:w="4320"/>
          </w:tcPr>
          <w:p>
            <w:r>
              <w:rPr>
                <w:sz w:val="20"/>
              </w:rPr>
            </w:r>
            <w:r>
              <w:rPr>
                <w:sz w:val="20"/>
              </w:rPr>
              <w:t>Timing shifts / deferrals (work pushed to a later period)</w:t>
            </w:r>
          </w:p>
        </w:tc>
        <w:tc>
          <w:tcPr>
            <w:tcW w:type="dxa" w:w="4320"/>
          </w:tcPr>
          <w:p>
            <w:r>
              <w:rPr>
                <w:sz w:val="20"/>
              </w:rPr>
            </w:r>
            <w:r>
              <w:rPr>
                <w:sz w:val="20"/>
              </w:rPr>
              <w:t>Deferral is not reduction; the cost returns.</w:t>
            </w:r>
          </w:p>
        </w:tc>
      </w:tr>
      <w:tr>
        <w:tc>
          <w:tcPr>
            <w:tcW w:type="dxa" w:w="4320"/>
          </w:tcPr>
          <w:p>
            <w:r>
              <w:rPr>
                <w:sz w:val="20"/>
              </w:rPr>
            </w:r>
            <w:r>
              <w:rPr>
                <w:sz w:val="20"/>
              </w:rPr>
              <w:t>Vacancy savings from unrelated open positions</w:t>
            </w:r>
          </w:p>
        </w:tc>
        <w:tc>
          <w:tcPr>
            <w:tcW w:type="dxa" w:w="4320"/>
          </w:tcPr>
          <w:p>
            <w:r>
              <w:rPr>
                <w:sz w:val="20"/>
              </w:rPr>
            </w:r>
            <w:r>
              <w:rPr>
                <w:sz w:val="20"/>
              </w:rPr>
              <w:t>Not tied to the transition.</w:t>
            </w:r>
          </w:p>
        </w:tc>
      </w:tr>
      <w:tr>
        <w:tc>
          <w:tcPr>
            <w:tcW w:type="dxa" w:w="4320"/>
          </w:tcPr>
          <w:p>
            <w:r>
              <w:rPr>
                <w:sz w:val="20"/>
              </w:rPr>
            </w:r>
            <w:r>
              <w:rPr>
                <w:sz w:val="20"/>
              </w:rPr>
              <w:t>Savings already claimed under another initiative (efficiency program, vendor consolidation, site strategy, etc.)</w:t>
            </w:r>
          </w:p>
        </w:tc>
        <w:tc>
          <w:tcPr>
            <w:tcW w:type="dxa" w:w="4320"/>
          </w:tcPr>
          <w:p>
            <w:r>
              <w:rPr>
                <w:sz w:val="20"/>
              </w:rPr>
            </w:r>
            <w:r>
              <w:rPr>
                <w:b/>
                <w:sz w:val="20"/>
              </w:rPr>
              <w:t>No double counting.</w:t>
            </w:r>
            <w:r>
              <w:rPr>
                <w:sz w:val="20"/>
              </w:rPr>
              <w:t xml:space="preserve"> Each dollar of savings belongs to exactly one program. Where attribution is ambiguous, escalate before reporting.</w:t>
            </w:r>
          </w:p>
        </w:tc>
      </w:tr>
      <w:tr>
        <w:tc>
          <w:tcPr>
            <w:tcW w:type="dxa" w:w="4320"/>
          </w:tcPr>
          <w:p>
            <w:r>
              <w:rPr>
                <w:sz w:val="20"/>
              </w:rPr>
            </w:r>
            <w:r>
              <w:rPr>
                <w:sz w:val="20"/>
              </w:rPr>
              <w:t>Reductions offset by re-emergence of equivalent spend elsewhere ("leakage")</w:t>
            </w:r>
          </w:p>
        </w:tc>
        <w:tc>
          <w:tcPr>
            <w:tcW w:type="dxa" w:w="4320"/>
          </w:tcPr>
          <w:p>
            <w:r>
              <w:rPr>
                <w:sz w:val="20"/>
              </w:rPr>
            </w:r>
            <w:r>
              <w:rPr>
                <w:sz w:val="20"/>
              </w:rPr>
              <w:t>If the work and spend migrated to another cost center, vendor, or expense line, the reduction is not real. Orgs attest monthly that reported reductions have not reappeared elsewhere in their organization.</w:t>
            </w:r>
          </w:p>
        </w:tc>
      </w:tr>
    </w:tbl>
    <w:p/>
    <w:p>
      <w:pPr>
        <w:spacing w:after="120"/>
      </w:pPr>
      <w:r>
        <w:rPr>
          <w:b/>
        </w:rPr>
        <w:t>Worked example (the software license case):</w:t>
      </w:r>
      <w:r>
        <w:t xml:space="preserve"> An org is on track on India hiring, falls $500K short of its committed professional services reduction for the quarter, and is $500K favorable on software licenses. Its labor arbitrage achievement is reported </w:t>
      </w:r>
      <w:r>
        <w:rPr>
          <w:b/>
        </w:rPr>
        <w:t>$500K short</w:t>
      </w:r>
      <w:r>
        <w:t>. The software favorability belongs in the org's normal forecast narrative, not in the program tracker. The program variance stands, with commentary and a recovery plan.</w:t>
      </w:r>
    </w:p>
    <w:p>
      <w:pPr>
        <w:pStyle w:val="Heading1"/>
      </w:pPr>
      <w:r>
        <w:t>5. No-substitution and category rules</w:t>
      </w:r>
    </w:p>
    <w:p>
      <w:pPr>
        <w:spacing w:after="120"/>
        <w:ind w:left="360"/>
      </w:pPr>
      <w:r>
        <w:t xml:space="preserve">1. </w:t>
      </w:r>
      <w:r>
        <w:rPr>
          <w:b/>
        </w:rPr>
        <w:t>No cross-category substitution without approval.</w:t>
      </w:r>
      <w:r>
        <w:t xml:space="preserve"> Shortfalls in one committed labor category may not be silently offset by over-delivery in another (e.g., missing the professional services commitment but cutting extra offshore contractors). Over-delivery is reported where it occurs; persistent category mix changes require a change request. Rationale: category mix was part of the business case economics (rates differ sharply by category).</w:t>
      </w:r>
    </w:p>
    <w:p>
      <w:pPr>
        <w:spacing w:after="120"/>
        <w:ind w:left="360"/>
      </w:pPr>
      <w:r>
        <w:t xml:space="preserve">2. </w:t>
      </w:r>
      <w:r>
        <w:rPr>
          <w:b/>
        </w:rPr>
        <w:t>Total-level netting for reporting.</w:t>
      </w:r>
      <w:r>
        <w:t xml:space="preserve"> For consolidated corporate reporting, category over/under-delivery </w:t>
      </w:r>
      <w:r>
        <w:rPr>
          <w:i/>
        </w:rPr>
        <w:t>within an org</w:t>
      </w:r>
      <w:r>
        <w:t xml:space="preserve"> nets in the total — but the category detail is always visible. </w:t>
      </w:r>
      <w:r>
        <w:rPr>
          <w:b/>
          <w:color w:val="C00000"/>
        </w:rPr>
        <w:t>[LEADERSHIP DECISION]</w:t>
      </w:r>
      <w:r>
        <w:t xml:space="preserve"> whether the org-level commitment is enforced at category level or total level.</w:t>
      </w:r>
    </w:p>
    <w:p>
      <w:pPr>
        <w:spacing w:after="120"/>
        <w:ind w:left="360"/>
      </w:pPr>
      <w:r>
        <w:t xml:space="preserve">3. </w:t>
      </w:r>
      <w:r>
        <w:rPr>
          <w:b/>
        </w:rPr>
        <w:t>Early delivery</w:t>
      </w:r>
      <w:r>
        <w:t xml:space="preserve"> counts when realized, and is reported in the month realized (no banking of future months' targets as "achieved early" before the GL reflects them).</w:t>
      </w:r>
    </w:p>
    <w:p>
      <w:pPr>
        <w:pStyle w:val="Heading1"/>
      </w:pPr>
      <w:r>
        <w:t>6. Measurement mechanics</w:t>
      </w:r>
    </w:p>
    <w:p>
      <w:pPr>
        <w:spacing w:after="120"/>
        <w:ind w:left="360"/>
      </w:pPr>
      <w:r>
        <w:t xml:space="preserve">1. </w:t>
      </w:r>
      <w:r>
        <w:rPr>
          <w:b/>
        </w:rPr>
        <w:t>Net calculation:</w:t>
      </w:r>
      <w:r>
        <w:t xml:space="preserve"> Net labor arbitrage = (gross run-rate reductions realized in period) − (India loaded costs incurred in period). India loaded cost = comp + benefits + allocated seat/facility/technology recurring costs at the standard loaded rate. </w:t>
      </w:r>
      <w:r>
        <w:rPr>
          <w:b/>
          <w:color w:val="C00000"/>
        </w:rPr>
        <w:t>[LEADERSHIP DECISION]</w:t>
      </w:r>
      <w:r>
        <w:t xml:space="preserve"> confirm the standard India loaded-cost rate and what allocations are in it.</w:t>
      </w:r>
    </w:p>
    <w:p>
      <w:pPr>
        <w:spacing w:after="120"/>
        <w:ind w:left="360"/>
      </w:pPr>
      <w:r>
        <w:t xml:space="preserve">2. </w:t>
      </w:r>
      <w:r>
        <w:rPr>
          <w:b/>
        </w:rPr>
        <w:t>Two savings views — in-year is the commitment:</w:t>
      </w:r>
      <w:r>
        <w:t xml:space="preserve"> each org reports (a) </w:t>
      </w:r>
      <w:r>
        <w:rPr>
          <w:b/>
        </w:rPr>
        <w:t>in-year savings $</w:t>
      </w:r>
      <w:r>
        <w:t xml:space="preserve"> realized in the period and (b) </w:t>
      </w:r>
      <w:r>
        <w:rPr>
          <w:b/>
        </w:rPr>
        <w:t>exit run-rate $</w:t>
      </w:r>
      <w:r>
        <w:t xml:space="preserve"> — annualized value of reductions in place at period end. The technology enterprise committed </w:t>
      </w:r>
      <w:r>
        <w:rPr>
          <w:b/>
        </w:rPr>
        <w:t>in-year savings targets by year for 2025–2029</w:t>
      </w:r>
      <w:r>
        <w:t xml:space="preserve">, now allocated as commitments by sub-organization; in-year achievement vs. those targets is the accountability metric. Exit run-rate is a diagnostic only and is </w:t>
      </w:r>
      <w:r>
        <w:rPr>
          <w:b/>
        </w:rPr>
        <w:t>never an offset or an excuse</w:t>
      </w:r>
      <w:r>
        <w:t>: an org behind on in-year savings is behind, regardless of run-rate trajectory. "Run-rate on track" may appear in variance commentary as context for the recovery plan — it does not mitigate, reduce, or re-characterize the in-year miss.</w:t>
      </w:r>
    </w:p>
    <w:p>
      <w:pPr>
        <w:spacing w:after="120"/>
        <w:ind w:left="360"/>
      </w:pPr>
      <w:r>
        <w:t xml:space="preserve">3. </w:t>
      </w:r>
      <w:r>
        <w:rPr>
          <w:b/>
        </w:rPr>
        <w:t>Recognition timing:</w:t>
      </w:r>
      <w:r>
        <w:t xml:space="preserve"> savings are recognized in the month the run-rate cost reduction is first reflected in the GL. Partial months count pro rata.</w:t>
      </w:r>
    </w:p>
    <w:p>
      <w:pPr>
        <w:spacing w:after="120"/>
        <w:ind w:left="360"/>
      </w:pPr>
      <w:r>
        <w:t xml:space="preserve">4. </w:t>
      </w:r>
      <w:r>
        <w:rPr>
          <w:b/>
        </w:rPr>
        <w:t>One-time transition costs</w:t>
      </w:r>
      <w:r>
        <w:t xml:space="preserve"> (severance, knowledge transfer travel, parallel-run/shadowing costs, recruitment fees, facility build-out) are reported separately and are </w:t>
      </w:r>
      <w:r>
        <w:rPr>
          <w:b/>
        </w:rPr>
        <w:t>never netted inside</w:t>
      </w:r>
      <w:r>
        <w:t xml:space="preserve"> gross reductions or run-rate savings. They appear in the net program economics view only.</w:t>
      </w:r>
    </w:p>
    <w:p>
      <w:pPr>
        <w:spacing w:after="120"/>
        <w:ind w:left="360"/>
      </w:pPr>
      <w:r>
        <w:t xml:space="preserve">5. </w:t>
      </w:r>
      <w:r>
        <w:rPr>
          <w:b/>
        </w:rPr>
        <w:t>FX:</w:t>
      </w:r>
      <w:r>
        <w:t xml:space="preserve"> report in USD at plan rate; FX variance between plan and actual rates is excluded from arbitrage achievement (it is neither an org's achievement nor its miss). </w:t>
      </w:r>
      <w:r>
        <w:rPr>
          <w:b/>
          <w:color w:val="C00000"/>
        </w:rPr>
        <w:t>[LEADERSHIP DECISION]</w:t>
      </w:r>
      <w:r>
        <w:t xml:space="preserve"> confirm plan-rate convention matches corporate policy.</w:t>
      </w:r>
    </w:p>
    <w:p>
      <w:pPr>
        <w:spacing w:after="120"/>
        <w:ind w:left="360"/>
      </w:pPr>
      <w:r>
        <w:t xml:space="preserve">6. </w:t>
      </w:r>
      <w:r>
        <w:rPr>
          <w:b/>
        </w:rPr>
        <w:t>Attrition-driven reductions</w:t>
      </w:r>
      <w:r>
        <w:t xml:space="preserve"> (a legacy contractor or employee leaves and is not backfilled, with work absorbed by India) count </w:t>
      </w:r>
      <w:r>
        <w:rPr>
          <w:b/>
        </w:rPr>
        <w:t>if</w:t>
      </w:r>
      <w:r>
        <w:t xml:space="preserve"> the position was in scope of the org's committed plan or is formally added to it via change request. Opportunistic attrition outside the plan: </w:t>
      </w:r>
      <w:r>
        <w:rPr>
          <w:b/>
          <w:color w:val="C00000"/>
        </w:rPr>
        <w:t>[LEADERSHIP DECISION]</w:t>
      </w:r>
      <w:r>
        <w:t>.</w:t>
      </w:r>
    </w:p>
    <w:p>
      <w:pPr>
        <w:pStyle w:val="Heading1"/>
      </w:pPr>
      <w:r>
        <w:t>7. Governance</w:t>
      </w:r>
    </w:p>
    <w:p>
      <w:pPr>
        <w:spacing w:after="120"/>
        <w:ind w:left="360"/>
      </w:pPr>
      <w:r>
        <w:t xml:space="preserve">1. </w:t>
      </w:r>
      <w:r>
        <w:rPr>
          <w:b/>
        </w:rPr>
        <w:t>Attestation.</w:t>
      </w:r>
      <w:r>
        <w:t xml:space="preserve"> Each monthly submission is attested by the org's finance partner: reductions are GL-visible, categorized correctly, not double-counted, and not offset by leakage. The workbook captures the attester's name.</w:t>
      </w:r>
    </w:p>
    <w:p>
      <w:pPr>
        <w:spacing w:after="120"/>
        <w:ind w:left="360"/>
      </w:pPr>
      <w:r>
        <w:t xml:space="preserve">2. </w:t>
      </w:r>
      <w:r>
        <w:rPr>
          <w:b/>
        </w:rPr>
        <w:t>Evidence.</w:t>
      </w:r>
      <w:r>
        <w:t xml:space="preserve"> For each material reported reduction (≥ ${threshold — suggest $250K run-rate} </w:t>
      </w:r>
      <w:r>
        <w:rPr>
          <w:b/>
          <w:color w:val="C00000"/>
        </w:rPr>
        <w:t>[LEADERSHIP DECISION]</w:t>
      </w:r>
      <w:r>
        <w:t>), the org identifies cost center and expense line on request. Central program finance may sample-test quarterly.</w:t>
      </w:r>
    </w:p>
    <w:p>
      <w:pPr>
        <w:spacing w:after="120"/>
        <w:ind w:left="360"/>
      </w:pPr>
      <w:r>
        <w:t xml:space="preserve">3. </w:t>
      </w:r>
      <w:r>
        <w:rPr>
          <w:b/>
        </w:rPr>
        <w:t>Variance commentary</w:t>
      </w:r>
      <w:r>
        <w:t xml:space="preserve"> is mandatory when any headline metric misses the monthly baseline by more than {10% or $100K, whichever is greater — placeholder}. Commentary must state cause, recovery plan, and expected recovery month.</w:t>
      </w:r>
    </w:p>
    <w:p>
      <w:pPr>
        <w:spacing w:after="120"/>
        <w:ind w:left="360"/>
      </w:pPr>
      <w:r>
        <w:t xml:space="preserve">4. </w:t>
      </w:r>
      <w:r>
        <w:rPr>
          <w:b/>
        </w:rPr>
        <w:t>Change requests.</w:t>
      </w:r>
      <w:r>
        <w:t xml:space="preserve"> Baseline changes (target timing, category mix, scope adds/removals) require a written change request approved by {India program leadership + Technology Finance leadership — confirm approvers}. Approved changes restate the baseline prospectively; history is not rewritten.</w:t>
      </w:r>
    </w:p>
    <w:p>
      <w:pPr>
        <w:pStyle w:val="ListBullet2"/>
      </w:pPr>
      <w:r>
        <w:rPr>
          <w:b/>
        </w:rPr>
        <w:t>Materiality threshold:</w:t>
      </w:r>
      <w:r>
        <w:t xml:space="preserve"> a change request is required — and is the </w:t>
      </w:r>
      <w:r>
        <w:rPr>
          <w:i/>
        </w:rPr>
        <w:t>only</w:t>
      </w:r>
      <w:r>
        <w:t xml:space="preserve"> path to a baseline restatement — for any change with an in-year savings impact of </w:t>
      </w:r>
      <w:r>
        <w:rPr>
          <w:b/>
        </w:rPr>
        <w:t>$500K or more in any single year</w:t>
      </w:r>
      <w:r>
        <w:t xml:space="preserve"> (proposed threshold — </w:t>
      </w:r>
      <w:r>
        <w:rPr>
          <w:b/>
          <w:color w:val="C00000"/>
        </w:rPr>
        <w:t>[LEADERSHIP DECISION]</w:t>
      </w:r>
      <w:r>
        <w:t>). Impacts below the threshold do not restate the baseline: the original target stands and the variance is explained through monthly commentary. This keeps the change process reserved for genuinely material events and prevents the baseline from being eroded by an accumulation of small adjustments.</w:t>
      </w:r>
    </w:p>
    <w:p>
      <w:pPr>
        <w:pStyle w:val="ListBullet2"/>
      </w:pPr>
      <w:r>
        <w:t>Related changes may not be split into multiple sub-threshold requests to avoid the process; assess materiality on the combined impact.</w:t>
      </w:r>
    </w:p>
    <w:p>
      <w:pPr>
        <w:spacing w:after="120"/>
        <w:ind w:left="360"/>
      </w:pPr>
      <w:r>
        <w:t xml:space="preserve">5. </w:t>
      </w:r>
      <w:r>
        <w:rPr>
          <w:b/>
        </w:rPr>
        <w:t>True-up cadence.</w:t>
      </w:r>
      <w:r>
        <w:t xml:space="preserve"> Quarterly reconciliation of reported achievement against GL trend by category; annual true-up aligned to the corporate close. Discrepancies adjust the next open month, with disclosure.</w:t>
      </w:r>
    </w:p>
    <w:p>
      <w:pPr>
        <w:spacing w:after="120"/>
        <w:ind w:left="360"/>
      </w:pPr>
      <w:r>
        <w:t xml:space="preserve">6. </w:t>
      </w:r>
      <w:r>
        <w:rPr>
          <w:b/>
        </w:rPr>
        <w:t>Escalation path.</w:t>
      </w:r>
      <w:r>
        <w:t xml:space="preserve"> Interpretation questions go to central program finance (owner of this document) first; unresolved or precedent-setting questions go to the leadership forum. Decisions are appended to this document as numbered rulings so the rulebook grows with precedent.</w:t>
      </w:r>
    </w:p>
    <w:p>
      <w:pPr>
        <w:spacing w:after="120"/>
        <w:ind w:left="360"/>
      </w:pPr>
      <w:r>
        <w:t xml:space="preserve">7. </w:t>
      </w:r>
      <w:r>
        <w:rPr>
          <w:b/>
        </w:rPr>
        <w:t>Submission calendar.</w:t>
      </w:r>
      <w:r>
        <w:t xml:space="preserve"> Org inputs due workday {WD+3 — placeholder} each month; consolidation published workday {WD+5 — placeholder}.</w:t>
      </w:r>
    </w:p>
    <w:p>
      <w:pPr>
        <w:pStyle w:val="Heading1"/>
      </w:pPr>
      <w:r>
        <w:t>8. Open questions for leadership (summary)</w:t>
      </w:r>
    </w:p>
    <w:p>
      <w:pPr>
        <w:spacing w:after="120"/>
        <w:ind w:left="360"/>
      </w:pPr>
      <w:r>
        <w:t>1. Boundary rule for vendor rate reductions linked to transition-driven volume shrink (§4).</w:t>
      </w:r>
    </w:p>
    <w:p>
      <w:pPr>
        <w:spacing w:after="120"/>
        <w:ind w:left="360"/>
      </w:pPr>
      <w:r>
        <w:t>2. Category-level vs. total-level enforcement of org commitments (§5.2).</w:t>
      </w:r>
    </w:p>
    <w:p>
      <w:pPr>
        <w:spacing w:after="120"/>
        <w:ind w:left="360"/>
      </w:pPr>
      <w:r>
        <w:t>3. Standard India loaded-cost rate and included allocations (§6.1).</w:t>
      </w:r>
    </w:p>
    <w:p>
      <w:pPr>
        <w:spacing w:after="120"/>
        <w:ind w:left="360"/>
      </w:pPr>
      <w:r>
        <w:t>4. FX plan-rate convention (§6.5).</w:t>
      </w:r>
    </w:p>
    <w:p>
      <w:pPr>
        <w:spacing w:after="120"/>
        <w:ind w:left="360"/>
      </w:pPr>
      <w:r>
        <w:t>5. Treatment of opportunistic (out-of-plan) attrition-driven reductions (§6.6).</w:t>
      </w:r>
    </w:p>
    <w:p>
      <w:pPr>
        <w:spacing w:after="120"/>
        <w:ind w:left="360"/>
      </w:pPr>
      <w:r>
        <w:t>6. Evidence threshold and sampling approach (§7.2).</w:t>
      </w:r>
    </w:p>
    <w:p>
      <w:pPr>
        <w:spacing w:after="120"/>
        <w:ind w:left="360"/>
      </w:pPr>
      <w:r>
        <w:t>7. Change request approvers and forum (§7.4).</w:t>
      </w:r>
    </w:p>
    <w:p>
      <w:pPr>
        <w:spacing w:after="120"/>
        <w:ind w:left="360"/>
      </w:pPr>
      <w:r>
        <w:t>8. Change request materiality threshold — proposed at $500K in-year savings impact in any single year (§7.4).</w:t>
      </w:r>
    </w:p>
    <w:p>
      <w:r>
        <w:rPr>
          <w:i/>
          <w:color w:val="595959"/>
          <w:sz w:val="18"/>
        </w:rPr>
        <w:t>Owner: Central program finance (Technology Finance). Companion: India_Labor_Arbitrage_Tracker.xlsx — the monthly consolidation workbook; a condensed version of these rules appears on its "Guiding Principles" tab.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