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Perjanjian Kerja Sama</w:t>
        <w:br/>
        <w:t>Layanan TransRent dan GPS</w:t>
      </w:r>
    </w:p>
    <w:p>
      <w:r>
        <w:t>Nomor: [nomor MoU]  |  Versi: [versi/tanggal final]</w:t>
      </w:r>
    </w:p>
    <w:p>
      <w:pPr>
        <w:pStyle w:val="Heading1"/>
      </w:pPr>
      <w:r>
        <w:t>Identitas dan ruang lingkup</w:t>
      </w:r>
    </w:p>
    <w:p>
      <w:r>
        <w:t>Pada [tanggal, bulan, tahun] di [kota], perjanjian ini dibuat oleh:</w:t>
      </w:r>
    </w:p>
    <w:p>
      <w:r>
        <w:t>PIHAK PERTAMA: [nama badan usaha/pengelola sah TransRent], beralamat di [alamat], identitas usaha [NIB/identitas yang relevan], diwakili oleh [nama dan jabatan], berdasarkan [dasar kewenangan]. Selanjutnya disebut Pengelola Platform.</w:t>
      </w:r>
    </w:p>
    <w:p>
      <w:r>
        <w:t>PIHAK KEDUA: [nama badan usaha/pemilik rental], beralamat di [alamat], identitas usaha [NIB/identitas yang relevan], diwakili oleh [nama dan jabatan], berdasarkan [dasar kewenangan]. Selanjutnya disebut Pemilik Rental.</w:t>
      </w:r>
    </w:p>
    <w:p>
      <w:r>
        <w:t>Para Pihak menyepakati penggunaan layanan TransRent sesuai ketentuan berikut. Semua kolom dalam tanda kurung siku harus diisi atau ditetapkan tidak berlaku sebelum penandatanganan.</w:t>
      </w:r>
    </w:p>
    <w:p>
      <w:pPr>
        <w:pStyle w:val="Heading1"/>
      </w:pPr>
      <w:r>
        <w:t>Pasal 1  Tujuan dan layanan</w:t>
      </w:r>
    </w:p>
    <w:p>
      <w:r>
        <w:t>Kerja sama mencakup pengelolaan data perusahaan, cabang, armada, reservasi, serah terima, inspeksi, pengembalian, serta pencatatan denda dan refund pada TransRent. Pelacakan GPS hanya berlaku untuk kendaraan/perangkat yang tercantum pada Lampiran A.</w:t>
      </w:r>
    </w:p>
    <w:p>
      <w:r>
        <w:t>Layanan pembayaran dan GPS pada versi akademik digunakan untuk demonstrasi akademik. Penandatanganan ini tidak menyatakan bahwa gateway pembayaran nyata, pencairan refund nyata, atau perangkat GPS tertentu telah terintegrasi. Layanan yang benar-benar dipakai ditetapkan pada Lampiran A.</w:t>
      </w:r>
    </w:p>
    <w:p>
      <w:pPr>
        <w:pStyle w:val="Heading1"/>
      </w:pPr>
      <w:r>
        <w:t>Pasal 2  Waktu berlaku</w:t>
      </w:r>
    </w:p>
    <w:p>
      <w:r>
        <w:t>Perjanjian berlaku sejak [tanggal mulai] sampai dengan [tanggal berakhir], setelah kedua pihak menandatangani dan Pengelola Platform menyelesaikan pemeriksaan administrasi dokumen. Perpanjangan dan perubahan ketentuan harus disepakati tertulis.</w:t>
      </w:r>
    </w:p>
    <w:p>
      <w:r>
        <w:t>Nomor perjanjian: [nomor MoU pada TransRent]. ID perusahaan/cabang terkait: [ID atau daftar referensi].</w:t>
      </w:r>
    </w:p>
    <w:p>
      <w:r>
        <w:br w:type="page"/>
      </w:r>
    </w:p>
    <w:p>
      <w:pPr>
        <w:pStyle w:val="Heading1"/>
      </w:pPr>
      <w:r>
        <w:t>Pasal 3  Kewajiban Para Pihak</w:t>
      </w:r>
    </w:p>
    <w:p>
      <w:r>
        <w:t>Pengelola Platform menyediakan akses sesuai peran, menjaga keamanan sistem secara wajar, membatasi akses informasi operasional, dan memberi saluran penanganan keluhan serta insiden sebagaimana Lampiran A. Ketersediaan layanan dan dukungan hanya mengikuti tingkat layanan yang disepakati tertulis.</w:t>
      </w:r>
    </w:p>
    <w:p>
      <w:r>
        <w:t>Pemilik Rental memastikan kewenangan penggunaan kendaraan dan perangkat, kebenaran informasi armada/harga, kelayakan kendaraan, penunjukan admin/staff, serta dasar yang sah untuk pengolahan data pelanggan dan pihak lain. Akun tidak boleh dipakai bersama tanpa kendali dan akses harus dicabut ketika petugas tidak lagi berwenang.</w:t>
      </w:r>
    </w:p>
    <w:p>
      <w:r>
        <w:t>Pemilik Rental mengunggah dokumen final lengkap yang telah ditandatangani kedua pihak dan dibubuhi meterai asli. Dokumen aktif tidak diganti sepihak; perubahan dibuat sebagai perjanjian baru atau addendum.</w:t>
      </w:r>
    </w:p>
    <w:p>
      <w:pPr>
        <w:pStyle w:val="Heading1"/>
      </w:pPr>
      <w:r>
        <w:t>Pasal 4  Biaya dan transaksi rental</w:t>
      </w:r>
    </w:p>
    <w:p>
      <w:r>
        <w:t>Biaya layanan, pajak, jadwal penagihan, pihak penerima pembayaran, dan tanggung jawab pengembalian dana ditetapkan pada Lampiran A. Jika gratis untuk proyek akademik, tuliskan secara tegas. Kolom kosong tidak dianggap persetujuan atas tarif tertentu.</w:t>
      </w:r>
    </w:p>
    <w:p>
      <w:r>
        <w:t>Hubungan sewa kendaraan antara Pemilik Rental dan pelanggan dituangkan dalam perjanjian sewa tersendiri. Nominal denda, bukti kerusakan, prosedur keberatan, dan refund harus disampaikan kepada pelanggan sebelum disepakati. MoU ini tidak menggantikan perjanjian sewa tersebut.</w:t>
      </w:r>
    </w:p>
    <w:p>
      <w:pPr>
        <w:pStyle w:val="Heading1"/>
      </w:pPr>
      <w:r>
        <w:t>Pasal 5  Tanggung jawab dan penghentian</w:t>
      </w:r>
    </w:p>
    <w:p>
      <w:r>
        <w:t>Setiap pihak bertanggung jawab atas pelanggaran kewajibannya sesuai hukum yang berlaku. Pembatasan tanggung jawab atau ganti rugi, jika disepakati, dicatat pada Lampiran A dan tidak menghapus tanggung jawab yang tidak dapat dikesampingkan oleh hukum.</w:t>
      </w:r>
    </w:p>
    <w:p>
      <w:r>
        <w:t>Pihak yang ingin mengakhiri kerja sama memberi pemberitahuan tertulis [jangka waktu]. Akses dapat dibatasi sementara untuk insiden keamanan atau pelanggaran yang dapat dibuktikan, dengan pemberitahuan dan penjelasan yang wajar. Penyelesaian rental, sengketa, kewajiban pembayaran, serta pengembalian/penghapusan data tetap dilaksanakan sesuai kesepakatan.</w:t>
      </w:r>
    </w:p>
    <w:p>
      <w:r>
        <w:br w:type="page"/>
      </w:r>
    </w:p>
    <w:p>
      <w:pPr>
        <w:pStyle w:val="Heading1"/>
      </w:pPr>
      <w:r>
        <w:t>Pasal 6  GPS dan pelindungan data</w:t>
      </w:r>
    </w:p>
    <w:p>
      <w:r>
        <w:t>GPS digunakan untuk operasional rental, keselamatan, penanganan keadaan darurat, dan pengamanan kendaraan yang sah. Pemantauan yang tidak berkaitan dengan tujuan tersebut, pembagian lokasi kepada pihak tanpa kewenangan, dan penelusuran pelanggan di luar rental aktif dilarang.</w:t>
      </w:r>
    </w:p>
    <w:p>
      <w:r>
        <w:t>Data yang dapat diproses meliputi identitas/kontak yang diperlukan, data reservasi/inspeksi, identitas kendaraan/perangkat, lokasi, dan waktu pencatatan. Pemilik Rental wajib memberikan informasi yang jelas kepada pelanggan/pengemudi serta memastikan dasar pemrosesan yang sah. Persetujuan Pemilik Rental dalam MoU ini tidak dengan sendirinya menjadi persetujuan semua subjek data.</w:t>
      </w:r>
    </w:p>
    <w:p>
      <w:r>
        <w:t>Peran Para Pihak sebagai pengendali/prosesor untuk setiap kegiatan, instruksi pemrosesan, pihak lain yang menerima data, lokasi penyimpanan/transfer, masa simpan, dan prosedur pemenuhan hak subjek data ditetapkan pada Lampiran A. KTP/SIM dan lokasi tidak dibagikan kepada petugas yang tidak memerlukannya.</w:t>
      </w:r>
    </w:p>
    <w:p>
      <w:r>
        <w:t>Para Pihak menjaga kerahasiaan, membatasi akses sesuai tugas, menangani insiden, dan saling memberi informasi tanpa menunda secara tidak wajar. Pemberitahuan kepada subjek data dan otoritas dilakukan sesuai kewajiban hukum yang berlaku.</w:t>
      </w:r>
    </w:p>
    <w:p>
      <w:pPr>
        <w:pStyle w:val="Heading1"/>
      </w:pPr>
      <w:r>
        <w:t>Lampiran A  Parameter yang disepakati</w:t>
      </w:r>
    </w:p>
    <w:p>
      <w:r>
        <w:t>Layanan aktif dan mode akademik/nyata: [isi]. Biaya, pajak, penagihan, dan refund: [isi]. Dukungan dan tingkat layanan: [isi].</w:t>
      </w:r>
    </w:p>
    <w:p>
      <w:r>
        <w:t>Tujuan/dasar pemrosesan tiap kategori data dan peran Para Pihak: [isi]. Masa simpan dan penghapusan setelah kerja sama berakhir: [isi]. Pihak pemroses lain/lokasi penyimpanan/transfer: [isi].</w:t>
      </w:r>
    </w:p>
    <w:p>
      <w:r>
        <w:t>Kontak dukungan dan pelindungan data masing-masing pihak: [isi]. Penanganan insiden dan hak subjek data: [isi]. Pemberitahuan penghentian dan ketentuan tanggung jawab: [isi].</w:t>
      </w:r>
    </w:p>
    <w:tbl>
      <w:tblPr>
        <w:tblStyle w:val="TableGrid"/>
        <w:tblW w:type="auto" w:w="0"/>
        <w:tblLook w:firstColumn="1" w:firstRow="1" w:lastColumn="0" w:lastRow="0" w:noHBand="0" w:noVBand="1" w:val="04A0"/>
      </w:tblPr>
      <w:tblGrid>
        <w:gridCol w:w="2381"/>
        <w:gridCol w:w="2381"/>
        <w:gridCol w:w="2381"/>
        <w:gridCol w:w="2381"/>
      </w:tblGrid>
      <w:tr>
        <w:tc>
          <w:tcPr>
            <w:tcW w:type="dxa" w:w="2381"/>
          </w:tcPr>
          <w:p>
            <w:r>
              <w:t>Cabang</w:t>
            </w:r>
          </w:p>
        </w:tc>
        <w:tc>
          <w:tcPr>
            <w:tcW w:type="dxa" w:w="2381"/>
          </w:tcPr>
          <w:p>
            <w:r>
              <w:t>Kendaraan/plat</w:t>
            </w:r>
          </w:p>
        </w:tc>
        <w:tc>
          <w:tcPr>
            <w:tcW w:type="dxa" w:w="2381"/>
          </w:tcPr>
          <w:p>
            <w:r>
              <w:t>ID perangkat</w:t>
            </w:r>
          </w:p>
        </w:tc>
        <w:tc>
          <w:tcPr>
            <w:tcW w:type="dxa" w:w="2381"/>
          </w:tcPr>
          <w:p>
            <w:r>
              <w:t>Izin/periode GPS</w:t>
            </w:r>
          </w:p>
        </w:tc>
      </w:tr>
      <w:tr>
        <w:tc>
          <w:tcPr>
            <w:tcW w:type="dxa" w:w="2381"/>
          </w:tcPr>
          <w:p>
            <w:r>
              <w:t>[isi]</w:t>
            </w:r>
          </w:p>
        </w:tc>
        <w:tc>
          <w:tcPr>
            <w:tcW w:type="dxa" w:w="2381"/>
          </w:tcPr>
          <w:p>
            <w:r>
              <w:t>[isi]</w:t>
            </w:r>
          </w:p>
        </w:tc>
        <w:tc>
          <w:tcPr>
            <w:tcW w:type="dxa" w:w="2381"/>
          </w:tcPr>
          <w:p>
            <w:r>
              <w:t>[isi]</w:t>
            </w:r>
          </w:p>
        </w:tc>
        <w:tc>
          <w:tcPr>
            <w:tcW w:type="dxa" w:w="2381"/>
          </w:tcPr>
          <w:p>
            <w:r>
              <w:t>[isi]</w:t>
            </w:r>
          </w:p>
        </w:tc>
      </w:tr>
      <w:tr>
        <w:tc>
          <w:tcPr>
            <w:tcW w:type="dxa" w:w="2381"/>
          </w:tcPr>
          <w:p>
            <w:r>
              <w:t>[isi]</w:t>
            </w:r>
          </w:p>
        </w:tc>
        <w:tc>
          <w:tcPr>
            <w:tcW w:type="dxa" w:w="2381"/>
          </w:tcPr>
          <w:p>
            <w:r>
              <w:t>[isi]</w:t>
            </w:r>
          </w:p>
        </w:tc>
        <w:tc>
          <w:tcPr>
            <w:tcW w:type="dxa" w:w="2381"/>
          </w:tcPr>
          <w:p>
            <w:r>
              <w:t>[isi]</w:t>
            </w:r>
          </w:p>
        </w:tc>
        <w:tc>
          <w:tcPr>
            <w:tcW w:type="dxa" w:w="2381"/>
          </w:tcPr>
          <w:p>
            <w:r>
              <w:t>[isi]</w:t>
            </w:r>
          </w:p>
        </w:tc>
      </w:tr>
    </w:tbl>
    <w:p>
      <w:r>
        <w:br w:type="page"/>
      </w:r>
    </w:p>
    <w:p>
      <w:pPr>
        <w:pStyle w:val="Heading1"/>
      </w:pPr>
      <w:r>
        <w:t>Pasal 7  Penyelesaian perselisihan</w:t>
      </w:r>
    </w:p>
    <w:p>
      <w:r>
        <w:t>Perselisihan diselesaikan terlebih dahulu melalui musyawarah selama [jangka waktu] sejak pemberitahuan tertulis diterima. Jika tidak selesai, Para Pihak memilih [forum penyelesaian dan domisili yang disepakati]. Perjanjian tunduk pada hukum Republik Indonesia.</w:t>
      </w:r>
    </w:p>
    <w:p>
      <w:pPr>
        <w:pStyle w:val="Heading1"/>
      </w:pPr>
      <w:r>
        <w:t>Pasal 8  Dokumen dan penandatanganan</w:t>
      </w:r>
    </w:p>
    <w:p>
      <w:r>
        <w:t>Lampiran A dan daftar armada/perangkat yang disetujui merupakan bagian perjanjian. Para Pihak memastikan seluruh isian final benar, kewenangan penandatangan dapat dibuktikan, serta tidak ada halaman/lampiran yang hilang.</w:t>
      </w:r>
    </w:p>
    <w:p>
      <w:r>
        <w:t>Perjanjian ditandatangani kedua pihak menggunakan jalur fisik atau elektronik yang dipilih secara konsisten. Bea Meterai dipenuhi atas dokumen dan rangkapnya sesuai ketentuan yang berlaku; pembagian biaya disepakati Para Pihak. Masing-masing pihak memperoleh dokumen final yang sama.</w:t>
      </w:r>
    </w:p>
    <w:p>
      <w:pPr>
        <w:pStyle w:val="Heading1"/>
      </w:pPr>
      <w:r>
        <w:t>Pengesahan Para Pihak</w:t>
      </w:r>
    </w:p>
    <w:p>
      <w:r>
        <w:t>Ditandatangani di [kota], pada [tanggal penandatanganan].</w:t>
      </w:r>
    </w:p>
    <w:tbl>
      <w:tblPr>
        <w:tblW w:type="auto" w:w="0"/>
        <w:tblLayout w:type="fixed"/>
        <w:tblLook w:firstColumn="1" w:firstRow="1" w:lastColumn="0" w:lastRow="0" w:noHBand="0" w:noVBand="1" w:val="04A0"/>
      </w:tblPr>
      <w:tblGrid>
        <w:gridCol w:w="4762"/>
        <w:gridCol w:w="4762"/>
      </w:tblGrid>
      <w:tr>
        <w:tc>
          <w:tcPr>
            <w:tcW w:type="dxa" w:w="4706"/>
          </w:tcPr>
          <w:p>
            <w:r>
              <w:t>PIHAK PERTAMA</w:t>
              <w:br/>
              <w:t>Pengelola Platform</w:t>
            </w:r>
          </w:p>
          <w:p>
            <w:r>
              <w:t>[Nama badan usaha]</w:t>
            </w:r>
          </w:p>
          <w:p>
            <w:r>
              <w:br/>
              <w:br/>
              <w:br/>
              <w:br/>
            </w:r>
          </w:p>
          <w:p>
            <w:r>
              <w:t>[Ruang meterai tempel Rp10.000 bila</w:t>
              <w:br/>
              <w:t>terutang pada dokumen/rangkap ini]</w:t>
            </w:r>
          </w:p>
          <w:p>
            <w:r>
              <w:t>[Nama penandatangan]</w:t>
              <w:br/>
              <w:t>[Jabatan/dasar kewenangan]</w:t>
            </w:r>
          </w:p>
        </w:tc>
        <w:tc>
          <w:tcPr>
            <w:tcW w:type="dxa" w:w="4706"/>
          </w:tcPr>
          <w:p>
            <w:r>
              <w:t>PIHAK KEDUA</w:t>
              <w:br/>
              <w:t>Pemilik Rental</w:t>
            </w:r>
          </w:p>
          <w:p>
            <w:r>
              <w:t>[Nama badan usaha]</w:t>
            </w:r>
          </w:p>
          <w:p>
            <w:r>
              <w:br/>
              <w:br/>
              <w:br/>
              <w:br/>
            </w:r>
          </w:p>
          <w:p>
            <w:r>
              <w:t>[Ruang meterai tempel Rp10.000 bila</w:t>
              <w:br/>
              <w:t>terutang pada dokumen/rangkap ini]</w:t>
            </w:r>
          </w:p>
          <w:p>
            <w:r>
              <w:t>[Nama penandatangan]</w:t>
              <w:br/>
              <w:t>[Jabatan/dasar kewenangan]</w:t>
            </w:r>
          </w:p>
        </w:tc>
      </w:tr>
    </w:tbl>
    <w:p>
      <w:r>
        <w:t>Petunjuk pelaksanaan: gunakan meterai tempel asli; tanda tangan basah pada bagian meterai dan kertas sesuai ketentuan. Setelah seluruh pihak menandatangani, pindai semua halaman dan lampiran menjadi satu PDF. Simpan dokumen fisik asli. Ruang di atas bukan meterai.</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Nomor: [nomor MoU]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TRANSRENT  |  PERJANJIAN KERJA SAMA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